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5.png" ContentType="image/png"/>
  <Override PartName="/word/media/image2.jpeg" ContentType="image/jpeg"/>
  <Override PartName="/word/media/image3.jpeg" ContentType="image/jpeg"/>
  <Override PartName="/word/media/image4.jpeg" ContentType="image/jpeg"/>
  <Override PartName="/word/media/image6.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FORM 10-K</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9972" w:type="dxa"/>
        <w:jc w:val="left"/>
        <w:tblInd w:w="0" w:type="dxa"/>
        <w:tblLayout w:type="fixed"/>
        <w:tblCellMar>
          <w:top w:w="28" w:type="dxa"/>
          <w:left w:w="28" w:type="dxa"/>
          <w:bottom w:w="28" w:type="dxa"/>
          <w:right w:w="28" w:type="dxa"/>
        </w:tblCellMar>
      </w:tblPr>
      <w:tblGrid>
        <w:gridCol w:w="124"/>
        <w:gridCol w:w="109"/>
        <w:gridCol w:w="109"/>
        <w:gridCol w:w="2821"/>
        <w:gridCol w:w="2821"/>
        <w:gridCol w:w="39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39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6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ANNUAL REPORT PURSUANT TO SECTION 13 OR 15(d) OF THE SECURITIES EXCHANGE ACT OF 1934 </w:t>
            </w:r>
          </w:p>
        </w:tc>
      </w:tr>
    </w:tbl>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For the fiscal year ended December 31, 2025</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 the transition period from ______ to 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001-41691</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Kodiak AI,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tbl>
      <w:tblPr>
        <w:tblW w:w="7994" w:type="dxa"/>
        <w:jc w:val="left"/>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98-1592112</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1049 Terra Bella Avenue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Mountain View, CA 94043</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94043-7373</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(650) 209-8005</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135"/>
        <w:gridCol w:w="1751"/>
        <w:gridCol w:w="1772"/>
        <w:gridCol w:w="485"/>
        <w:gridCol w:w="478"/>
        <w:gridCol w:w="480"/>
        <w:gridCol w:w="908"/>
        <w:gridCol w:w="908"/>
        <w:gridCol w:w="1288"/>
      </w:tblGrid>
      <w:tr>
        <w:trPr/>
        <w:tc>
          <w:tcPr>
            <w:tcW w:w="2135"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r>
      <w:tr>
        <w:trPr/>
        <w:tc>
          <w:tcPr>
            <w:tcW w:w="56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1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56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14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KDK</w:t>
            </w:r>
          </w:p>
        </w:tc>
        <w:tc>
          <w:tcPr>
            <w:tcW w:w="31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565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Redeemable warrants, each exercisable for one share of common stock at an exercise</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price of $9.28</w:t>
            </w:r>
          </w:p>
        </w:tc>
        <w:tc>
          <w:tcPr>
            <w:tcW w:w="144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KDKRW</w:t>
            </w:r>
          </w:p>
        </w:tc>
        <w:tc>
          <w:tcPr>
            <w:tcW w:w="310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 None</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if the registrant is a well-known seasoned issuer, as defined in Rule 405 of the Securities Act. </w:t>
      </w:r>
    </w:p>
    <w:p>
      <w:pPr>
        <w:pStyle w:val="TextBody"/>
        <w:bidi w:val="0"/>
        <w:spacing w:lineRule="auto" w:line="288" w:before="0" w:after="24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not required to file reports pursuant to Section 13 or Section 15(d) of the Act.</w:t>
      </w:r>
    </w:p>
    <w:p>
      <w:pPr>
        <w:pStyle w:val="TextBody"/>
        <w:bidi w:val="0"/>
        <w:spacing w:lineRule="auto" w:line="288" w:before="0" w:after="24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24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24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24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pStyle w:val="TextBody"/>
        <w:bidi w:val="0"/>
        <w:spacing w:lineRule="auto" w:line="288" w:before="0" w:after="24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w:t>
      </w:r>
    </w:p>
    <w:p>
      <w:pPr>
        <w:pStyle w:val="TextBody"/>
        <w:bidi w:val="0"/>
        <w:spacing w:lineRule="auto" w:line="288" w:before="0" w:after="24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pStyle w:val="TextBody"/>
        <w:bidi w:val="0"/>
        <w:spacing w:lineRule="auto" w:line="288" w:before="0" w:after="24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0" w:after="24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2025, the last day of the registrant’s most recently completed second fiscal quarter, the aggregate market value of the voting and non-voting common equity held by non-affiliates of the registrant was approximately $559 million.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March 3, 2026, the number of shares of the registrant’s common stock outstanding was 182,555,384.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3"/>
        <w:gridCol w:w="310"/>
        <w:gridCol w:w="313"/>
        <w:gridCol w:w="2906"/>
        <w:gridCol w:w="2887"/>
        <w:gridCol w:w="2923"/>
        <w:gridCol w:w="149"/>
        <w:gridCol w:w="149"/>
        <w:gridCol w:w="215"/>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8d4c0322044448ab394c86998693fbc_13">
              <w:r>
                <w:rPr>
                  <w:rStyle w:val="InternetLink"/>
                  <w:rFonts w:ascii="Times New Roman;serif" w:hAnsi="Times New Roman;serif"/>
                  <w:b/>
                  <w:strike w:val="false"/>
                  <w:dstrike w:val="false"/>
                  <w:color w:val="000080"/>
                  <w:sz w:val="20"/>
                  <w:u w:val="single"/>
                  <w:effect w:val="none"/>
                </w:rPr>
                <w:t>P</w:t>
              </w:r>
            </w:hyperlink>
            <w:hyperlink w:anchor="ib8d4c0322044448ab394c86998693fbc_13">
              <w:r>
                <w:rPr>
                  <w:rStyle w:val="InternetLink"/>
                  <w:rFonts w:ascii="Times New Roman;serif" w:hAnsi="Times New Roman;serif"/>
                  <w:b/>
                  <w:strike w:val="false"/>
                  <w:dstrike w:val="false"/>
                  <w:color w:val="000080"/>
                  <w:sz w:val="20"/>
                  <w:u w:val="single"/>
                  <w:effect w:val="none"/>
                </w:rPr>
                <w:t>ART</w:t>
              </w:r>
            </w:hyperlink>
            <w:hyperlink w:anchor="ib8d4c0322044448ab394c86998693fbc_13">
              <w:r>
                <w:rPr>
                  <w:rStyle w:val="InternetLink"/>
                  <w:rFonts w:ascii="Times New Roman;serif" w:hAnsi="Times New Roman;serif"/>
                  <w:b/>
                  <w:strike w:val="false"/>
                  <w:dstrike w:val="false"/>
                  <w:color w:val="000080"/>
                  <w:sz w:val="20"/>
                  <w:u w:val="single"/>
                  <w:effect w:val="none"/>
                </w:rPr>
                <w:t xml:space="preserve"> I</w:t>
              </w:r>
            </w:hyperlink>
          </w:p>
        </w:tc>
        <w:tc>
          <w:tcPr>
            <w:tcW w:w="5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754">
              <w:r>
                <w:rPr>
                  <w:rStyle w:val="InternetLink"/>
                  <w:rFonts w:ascii="Times New Roman;serif" w:hAnsi="Times New Roman;serif"/>
                  <w:b w:val="false"/>
                  <w:color w:val="0000FF"/>
                  <w:sz w:val="20"/>
                  <w:u w:val="single"/>
                </w:rPr>
                <w:t>Item 1.</w:t>
              </w:r>
            </w:hyperlink>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754">
              <w:r>
                <w:rPr>
                  <w:rStyle w:val="InternetLink"/>
                  <w:rFonts w:ascii="Times New Roman;serif" w:hAnsi="Times New Roman;serif"/>
                  <w:b w:val="false"/>
                  <w:color w:val="0000FF"/>
                  <w:sz w:val="20"/>
                  <w:u w:val="single"/>
                </w:rPr>
                <w:t>Business.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8d4c0322044448ab394c86998693fbc_754">
              <w:r>
                <w:rPr>
                  <w:rStyle w:val="InternetLink"/>
                  <w:rFonts w:ascii="Times New Roman;serif" w:hAnsi="Times New Roman;serif"/>
                  <w:b w:val="false"/>
                  <w:strike w:val="false"/>
                  <w:dstrike w:val="false"/>
                  <w:color w:val="000000"/>
                  <w:sz w:val="20"/>
                  <w:u w:val="none"/>
                  <w:effect w:val="none"/>
                </w:rPr>
                <w:t>1</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148">
              <w:r>
                <w:rPr>
                  <w:rStyle w:val="InternetLink"/>
                  <w:rFonts w:ascii="Times New Roman;serif" w:hAnsi="Times New Roman;serif"/>
                  <w:b w:val="false"/>
                  <w:color w:val="0000FF"/>
                  <w:sz w:val="20"/>
                  <w:u w:val="single"/>
                </w:rPr>
                <w:t>Item 1A.</w:t>
              </w:r>
            </w:hyperlink>
          </w:p>
        </w:tc>
        <w:tc>
          <w:tcPr>
            <w:tcW w:w="8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148">
              <w:r>
                <w:rPr>
                  <w:rStyle w:val="InternetLink"/>
                  <w:rFonts w:ascii="Times New Roman;serif" w:hAnsi="Times New Roman;serif"/>
                  <w:b w:val="false"/>
                  <w:color w:val="0000FF"/>
                  <w:sz w:val="20"/>
                  <w:u w:val="single"/>
                </w:rPr>
                <w:t>Risk Factors.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8d4c0322044448ab394c86998693fbc_148">
              <w:r>
                <w:rPr>
                  <w:rStyle w:val="InternetLink"/>
                  <w:rFonts w:ascii="Times New Roman;serif" w:hAnsi="Times New Roman;serif"/>
                  <w:b w:val="false"/>
                  <w:strike w:val="false"/>
                  <w:dstrike w:val="false"/>
                  <w:color w:val="000000"/>
                  <w:sz w:val="20"/>
                  <w:u w:val="none"/>
                  <w:effect w:val="none"/>
                </w:rPr>
                <w:t>11</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774">
              <w:r>
                <w:rPr>
                  <w:rStyle w:val="InternetLink"/>
                  <w:rFonts w:ascii="Times New Roman;serif" w:hAnsi="Times New Roman;serif"/>
                  <w:b w:val="false"/>
                  <w:color w:val="0000FF"/>
                  <w:sz w:val="20"/>
                  <w:u w:val="single"/>
                </w:rPr>
                <w:t>Item 1B.</w:t>
              </w:r>
            </w:hyperlink>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774">
              <w:r>
                <w:rPr>
                  <w:rStyle w:val="InternetLink"/>
                  <w:rFonts w:ascii="Times New Roman;serif" w:hAnsi="Times New Roman;serif"/>
                  <w:b w:val="false"/>
                  <w:color w:val="0000FF"/>
                  <w:sz w:val="20"/>
                  <w:u w:val="single"/>
                </w:rPr>
                <w:t>Unresolved Staff Comments.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8d4c0322044448ab394c86998693fbc_774">
              <w:r>
                <w:rPr>
                  <w:rStyle w:val="InternetLink"/>
                  <w:rFonts w:ascii="Times New Roman;serif" w:hAnsi="Times New Roman;serif"/>
                  <w:b w:val="false"/>
                  <w:strike w:val="false"/>
                  <w:dstrike w:val="false"/>
                  <w:color w:val="000000"/>
                  <w:sz w:val="20"/>
                  <w:u w:val="none"/>
                  <w:effect w:val="none"/>
                </w:rPr>
                <w:t>50</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767">
              <w:r>
                <w:rPr>
                  <w:rStyle w:val="InternetLink"/>
                  <w:rFonts w:ascii="Times New Roman;serif" w:hAnsi="Times New Roman;serif"/>
                  <w:b w:val="false"/>
                  <w:color w:val="0000FF"/>
                  <w:sz w:val="20"/>
                  <w:u w:val="single"/>
                </w:rPr>
                <w:t>Item 1C.</w:t>
              </w:r>
            </w:hyperlink>
          </w:p>
        </w:tc>
        <w:tc>
          <w:tcPr>
            <w:tcW w:w="8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767">
              <w:r>
                <w:rPr>
                  <w:rStyle w:val="InternetLink"/>
                  <w:rFonts w:ascii="Times New Roman;serif" w:hAnsi="Times New Roman;serif"/>
                  <w:b w:val="false"/>
                  <w:color w:val="0000FF"/>
                  <w:sz w:val="20"/>
                  <w:u w:val="single"/>
                </w:rPr>
                <w:t>Cybersecurity.</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8d4c0322044448ab394c86998693fbc_767">
              <w:r>
                <w:rPr>
                  <w:rStyle w:val="InternetLink"/>
                  <w:rFonts w:ascii="Times New Roman;serif" w:hAnsi="Times New Roman;serif"/>
                  <w:b w:val="false"/>
                  <w:strike w:val="false"/>
                  <w:dstrike w:val="false"/>
                  <w:color w:val="000000"/>
                  <w:sz w:val="20"/>
                  <w:u w:val="none"/>
                  <w:effect w:val="none"/>
                </w:rPr>
                <w:t>50</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782">
              <w:r>
                <w:rPr>
                  <w:rStyle w:val="InternetLink"/>
                  <w:rFonts w:ascii="Times New Roman;serif" w:hAnsi="Times New Roman;serif"/>
                  <w:b w:val="false"/>
                  <w:color w:val="0000FF"/>
                  <w:sz w:val="20"/>
                  <w:u w:val="single"/>
                </w:rPr>
                <w:t>Item 2.</w:t>
              </w:r>
            </w:hyperlink>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782">
              <w:r>
                <w:rPr>
                  <w:rStyle w:val="InternetLink"/>
                  <w:rFonts w:ascii="Times New Roman;serif" w:hAnsi="Times New Roman;serif"/>
                  <w:b w:val="false"/>
                  <w:color w:val="0000FF"/>
                  <w:sz w:val="20"/>
                  <w:u w:val="single"/>
                </w:rPr>
                <w:t>Properties.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8d4c0322044448ab394c86998693fbc_782">
              <w:r>
                <w:rPr>
                  <w:rStyle w:val="InternetLink"/>
                  <w:rFonts w:ascii="Times New Roman;serif" w:hAnsi="Times New Roman;serif"/>
                  <w:b w:val="false"/>
                  <w:strike w:val="false"/>
                  <w:dstrike w:val="false"/>
                  <w:color w:val="000000"/>
                  <w:sz w:val="20"/>
                  <w:u w:val="none"/>
                  <w:effect w:val="none"/>
                </w:rPr>
                <w:t>51</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145">
              <w:r>
                <w:rPr>
                  <w:rStyle w:val="InternetLink"/>
                  <w:rFonts w:ascii="Times New Roman;serif" w:hAnsi="Times New Roman;serif"/>
                  <w:b w:val="false"/>
                  <w:color w:val="0000FF"/>
                  <w:sz w:val="20"/>
                  <w:u w:val="single"/>
                </w:rPr>
                <w:t>Item 3.</w:t>
              </w:r>
            </w:hyperlink>
          </w:p>
        </w:tc>
        <w:tc>
          <w:tcPr>
            <w:tcW w:w="8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145">
              <w:r>
                <w:rPr>
                  <w:rStyle w:val="InternetLink"/>
                  <w:rFonts w:ascii="Times New Roman;serif" w:hAnsi="Times New Roman;serif"/>
                  <w:b w:val="false"/>
                  <w:color w:val="0000FF"/>
                  <w:sz w:val="20"/>
                  <w:u w:val="single"/>
                </w:rPr>
                <w:t>Legal Proceedings.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8d4c0322044448ab394c86998693fbc_145">
              <w:r>
                <w:rPr>
                  <w:rStyle w:val="InternetLink"/>
                  <w:rFonts w:ascii="Times New Roman;serif" w:hAnsi="Times New Roman;serif"/>
                  <w:b w:val="false"/>
                  <w:strike w:val="false"/>
                  <w:dstrike w:val="false"/>
                  <w:color w:val="000000"/>
                  <w:sz w:val="20"/>
                  <w:u w:val="none"/>
                  <w:effect w:val="none"/>
                </w:rPr>
                <w:t>51</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157">
              <w:r>
                <w:rPr>
                  <w:rStyle w:val="InternetLink"/>
                  <w:rFonts w:ascii="Times New Roman;serif" w:hAnsi="Times New Roman;serif"/>
                  <w:b w:val="false"/>
                  <w:color w:val="0000FF"/>
                  <w:sz w:val="20"/>
                  <w:u w:val="single"/>
                </w:rPr>
                <w:t>Item 4.</w:t>
              </w:r>
            </w:hyperlink>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157">
              <w:r>
                <w:rPr>
                  <w:rStyle w:val="InternetLink"/>
                  <w:rFonts w:ascii="Times New Roman;serif" w:hAnsi="Times New Roman;serif"/>
                  <w:b w:val="false"/>
                  <w:color w:val="0000FF"/>
                  <w:sz w:val="20"/>
                  <w:u w:val="single"/>
                </w:rPr>
                <w:t>Mine Safety Disclosures.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8d4c0322044448ab394c86998693fbc_157">
              <w:r>
                <w:rPr>
                  <w:rStyle w:val="InternetLink"/>
                  <w:rFonts w:ascii="Times New Roman;serif" w:hAnsi="Times New Roman;serif"/>
                  <w:b w:val="false"/>
                  <w:strike w:val="false"/>
                  <w:dstrike w:val="false"/>
                  <w:color w:val="000000"/>
                  <w:sz w:val="20"/>
                  <w:u w:val="none"/>
                  <w:effect w:val="none"/>
                </w:rPr>
                <w:t>51</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8d4c0322044448ab394c86998693fbc_800">
              <w:r>
                <w:rPr>
                  <w:rStyle w:val="InternetLink"/>
                  <w:rFonts w:ascii="Times New Roman;serif" w:hAnsi="Times New Roman;serif"/>
                  <w:b/>
                  <w:strike w:val="false"/>
                  <w:dstrike w:val="false"/>
                  <w:color w:val="000000"/>
                  <w:sz w:val="20"/>
                  <w:u w:val="none"/>
                  <w:effect w:val="none"/>
                </w:rPr>
                <w:t>PART II</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814">
              <w:r>
                <w:rPr>
                  <w:rStyle w:val="InternetLink"/>
                  <w:rFonts w:ascii="Times New Roman;serif" w:hAnsi="Times New Roman;serif"/>
                  <w:b w:val="false"/>
                  <w:color w:val="0000FF"/>
                  <w:sz w:val="20"/>
                  <w:u w:val="single"/>
                </w:rPr>
                <w:t>Item 5.</w:t>
              </w:r>
            </w:hyperlink>
          </w:p>
        </w:tc>
        <w:tc>
          <w:tcPr>
            <w:tcW w:w="8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814">
              <w:r>
                <w:rPr>
                  <w:rStyle w:val="InternetLink"/>
                  <w:rFonts w:ascii="Times New Roman;serif" w:hAnsi="Times New Roman;serif"/>
                  <w:b w:val="false"/>
                  <w:color w:val="000080"/>
                  <w:sz w:val="20"/>
                  <w:u w:val="single"/>
                </w:rPr>
                <w:t>Market for Registrant</w:t>
              </w:r>
            </w:hyperlink>
            <w:hyperlink w:anchor="ib8d4c0322044448ab394c86998693fbc_814">
              <w:r>
                <w:rPr>
                  <w:rStyle w:val="InternetLink"/>
                  <w:rFonts w:ascii="Times New Roman;serif" w:hAnsi="Times New Roman;serif"/>
                  <w:b w:val="false"/>
                  <w:color w:val="000080"/>
                  <w:sz w:val="20"/>
                  <w:u w:val="single"/>
                </w:rPr>
                <w:t>’</w:t>
              </w:r>
            </w:hyperlink>
            <w:hyperlink w:anchor="ib8d4c0322044448ab394c86998693fbc_814">
              <w:r>
                <w:rPr>
                  <w:rStyle w:val="InternetLink"/>
                  <w:rFonts w:ascii="Times New Roman;serif" w:hAnsi="Times New Roman;serif"/>
                  <w:b w:val="false"/>
                  <w:color w:val="000080"/>
                  <w:sz w:val="20"/>
                  <w:u w:val="single"/>
                </w:rPr>
                <w:t>s Common Equity, Related Stockholder Matters and Issuer Purchases of Equity Securities</w:t>
              </w:r>
            </w:hyperlink>
            <w:hyperlink w:anchor="ib8d4c0322044448ab394c86998693fbc_814">
              <w:r>
                <w:rPr>
                  <w:rStyle w:val="InternetLink"/>
                  <w:rFonts w:ascii="Times New Roman;serif" w:hAnsi="Times New Roman;serif"/>
                  <w:b w:val="false"/>
                  <w:color w:val="000080"/>
                  <w:sz w:val="20"/>
                  <w:u w:val="single"/>
                </w:rPr>
                <w:t>.</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8d4c0322044448ab394c86998693fbc_814">
              <w:r>
                <w:rPr>
                  <w:rStyle w:val="InternetLink"/>
                  <w:rFonts w:ascii="Times New Roman;serif" w:hAnsi="Times New Roman;serif"/>
                  <w:b w:val="false"/>
                  <w:strike w:val="false"/>
                  <w:dstrike w:val="false"/>
                  <w:color w:val="000000"/>
                  <w:sz w:val="20"/>
                  <w:u w:val="none"/>
                  <w:effect w:val="none"/>
                </w:rPr>
                <w:t>52</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822">
              <w:r>
                <w:rPr>
                  <w:rStyle w:val="InternetLink"/>
                  <w:rFonts w:ascii="Times New Roman;serif" w:hAnsi="Times New Roman;serif"/>
                  <w:b w:val="false"/>
                  <w:color w:val="0000FF"/>
                  <w:sz w:val="20"/>
                  <w:u w:val="single"/>
                </w:rPr>
                <w:t>Item 6.</w:t>
              </w:r>
            </w:hyperlink>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822">
              <w:r>
                <w:rPr>
                  <w:rStyle w:val="InternetLink"/>
                  <w:rFonts w:ascii="Times New Roman;serif" w:hAnsi="Times New Roman;serif"/>
                  <w:b w:val="false"/>
                  <w:color w:val="0000FF"/>
                  <w:sz w:val="20"/>
                  <w:u w:val="single"/>
                </w:rPr>
                <w:t>[Reserved]</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8d4c0322044448ab394c86998693fbc_822">
              <w:r>
                <w:rPr>
                  <w:rStyle w:val="InternetLink"/>
                  <w:rFonts w:ascii="Times New Roman;serif" w:hAnsi="Times New Roman;serif"/>
                  <w:b w:val="false"/>
                  <w:strike w:val="false"/>
                  <w:dstrike w:val="false"/>
                  <w:color w:val="000000"/>
                  <w:sz w:val="20"/>
                  <w:u w:val="none"/>
                  <w:effect w:val="none"/>
                </w:rPr>
                <w:t>53</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91">
              <w:r>
                <w:rPr>
                  <w:rStyle w:val="InternetLink"/>
                  <w:rFonts w:ascii="Times New Roman;serif" w:hAnsi="Times New Roman;serif"/>
                  <w:b w:val="false"/>
                  <w:color w:val="0000FF"/>
                  <w:sz w:val="20"/>
                  <w:u w:val="single"/>
                </w:rPr>
                <w:t>Item 7.</w:t>
              </w:r>
            </w:hyperlink>
          </w:p>
        </w:tc>
        <w:tc>
          <w:tcPr>
            <w:tcW w:w="8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91">
              <w:r>
                <w:rPr>
                  <w:rStyle w:val="InternetLink"/>
                  <w:rFonts w:ascii="Times New Roman;serif" w:hAnsi="Times New Roman;serif"/>
                  <w:b w:val="false"/>
                  <w:color w:val="000080"/>
                  <w:sz w:val="20"/>
                  <w:u w:val="single"/>
                </w:rPr>
                <w:t>Management</w:t>
              </w:r>
            </w:hyperlink>
            <w:hyperlink w:anchor="ib8d4c0322044448ab394c86998693fbc_91">
              <w:r>
                <w:rPr>
                  <w:rStyle w:val="InternetLink"/>
                  <w:rFonts w:ascii="Times New Roman;serif" w:hAnsi="Times New Roman;serif"/>
                  <w:b w:val="false"/>
                  <w:color w:val="000080"/>
                  <w:sz w:val="20"/>
                  <w:u w:val="single"/>
                </w:rPr>
                <w:t>’</w:t>
              </w:r>
            </w:hyperlink>
            <w:hyperlink w:anchor="ib8d4c0322044448ab394c86998693fbc_91">
              <w:r>
                <w:rPr>
                  <w:rStyle w:val="InternetLink"/>
                  <w:rFonts w:ascii="Times New Roman;serif" w:hAnsi="Times New Roman;serif"/>
                  <w:b w:val="false"/>
                  <w:color w:val="000080"/>
                  <w:sz w:val="20"/>
                  <w:u w:val="single"/>
                </w:rPr>
                <w:t>s Discussion and Analysis of Financial Condition and Results of Operations</w:t>
              </w:r>
            </w:hyperlink>
            <w:hyperlink w:anchor="ib8d4c0322044448ab394c86998693fbc_91">
              <w:r>
                <w:rPr>
                  <w:rStyle w:val="InternetLink"/>
                  <w:rFonts w:ascii="Times New Roman;serif" w:hAnsi="Times New Roman;serif"/>
                  <w:b w:val="false"/>
                  <w:color w:val="000080"/>
                  <w:sz w:val="20"/>
                  <w:u w:val="single"/>
                </w:rPr>
                <w:t>.</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8d4c0322044448ab394c86998693fbc_91">
              <w:r>
                <w:rPr>
                  <w:rStyle w:val="InternetLink"/>
                  <w:rFonts w:ascii="Times New Roman;serif" w:hAnsi="Times New Roman;serif"/>
                  <w:b w:val="false"/>
                  <w:strike w:val="false"/>
                  <w:dstrike w:val="false"/>
                  <w:color w:val="000000"/>
                  <w:sz w:val="20"/>
                  <w:u w:val="none"/>
                  <w:effect w:val="none"/>
                </w:rPr>
                <w:t>53</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136">
              <w:r>
                <w:rPr>
                  <w:rStyle w:val="InternetLink"/>
                  <w:rFonts w:ascii="Times New Roman;serif" w:hAnsi="Times New Roman;serif"/>
                  <w:b w:val="false"/>
                  <w:color w:val="0000FF"/>
                  <w:sz w:val="20"/>
                  <w:u w:val="single"/>
                </w:rPr>
                <w:t>Item 7A.</w:t>
              </w:r>
            </w:hyperlink>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136">
              <w:r>
                <w:rPr>
                  <w:rStyle w:val="InternetLink"/>
                  <w:rFonts w:ascii="Times New Roman;serif" w:hAnsi="Times New Roman;serif"/>
                  <w:b w:val="false"/>
                  <w:color w:val="000080"/>
                  <w:sz w:val="20"/>
                  <w:u w:val="single"/>
                </w:rPr>
                <w:t>Quantitative and Qualitative Disclosures About Market Risk</w:t>
              </w:r>
            </w:hyperlink>
            <w:hyperlink w:anchor="ib8d4c0322044448ab394c86998693fbc_136">
              <w:r>
                <w:rPr>
                  <w:rStyle w:val="InternetLink"/>
                  <w:rFonts w:ascii="Times New Roman;serif" w:hAnsi="Times New Roman;serif"/>
                  <w:b w:val="false"/>
                  <w:color w:val="000080"/>
                  <w:sz w:val="20"/>
                  <w:u w:val="single"/>
                </w:rPr>
                <w:t>.</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8d4c0322044448ab394c86998693fbc_136">
              <w:r>
                <w:rPr>
                  <w:rStyle w:val="InternetLink"/>
                  <w:rFonts w:ascii="Times New Roman;serif" w:hAnsi="Times New Roman;serif"/>
                  <w:b w:val="false"/>
                  <w:strike w:val="false"/>
                  <w:dstrike w:val="false"/>
                  <w:color w:val="000000"/>
                  <w:sz w:val="20"/>
                  <w:u w:val="none"/>
                  <w:effect w:val="none"/>
                </w:rPr>
                <w:t>66</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16">
              <w:r>
                <w:rPr>
                  <w:rStyle w:val="InternetLink"/>
                  <w:rFonts w:ascii="Times New Roman;serif" w:hAnsi="Times New Roman;serif"/>
                  <w:b w:val="false"/>
                  <w:color w:val="0000FF"/>
                  <w:sz w:val="20"/>
                  <w:u w:val="single"/>
                </w:rPr>
                <w:t>Item 8.</w:t>
              </w:r>
            </w:hyperlink>
          </w:p>
        </w:tc>
        <w:tc>
          <w:tcPr>
            <w:tcW w:w="8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16">
              <w:r>
                <w:rPr>
                  <w:rStyle w:val="InternetLink"/>
                  <w:rFonts w:ascii="Times New Roman;serif" w:hAnsi="Times New Roman;serif"/>
                  <w:b w:val="false"/>
                  <w:color w:val="000080"/>
                  <w:sz w:val="20"/>
                  <w:u w:val="single"/>
                </w:rPr>
                <w:t>Financial Statements and Supplementary Data</w:t>
              </w:r>
            </w:hyperlink>
            <w:hyperlink w:anchor="ib8d4c0322044448ab394c86998693fbc_16">
              <w:r>
                <w:rPr>
                  <w:rStyle w:val="InternetLink"/>
                  <w:rFonts w:ascii="Times New Roman;serif" w:hAnsi="Times New Roman;serif"/>
                  <w:b w:val="false"/>
                  <w:color w:val="000080"/>
                  <w:sz w:val="20"/>
                  <w:u w:val="single"/>
                </w:rPr>
                <w:t>.</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8d4c0322044448ab394c86998693fbc_16">
              <w:r>
                <w:rPr>
                  <w:rStyle w:val="InternetLink"/>
                  <w:rFonts w:ascii="Times New Roman;serif" w:hAnsi="Times New Roman;serif"/>
                  <w:b w:val="false"/>
                  <w:strike w:val="false"/>
                  <w:dstrike w:val="false"/>
                  <w:color w:val="000000"/>
                  <w:sz w:val="20"/>
                  <w:u w:val="none"/>
                  <w:effect w:val="none"/>
                </w:rPr>
                <w:t>67</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860">
              <w:r>
                <w:rPr>
                  <w:rStyle w:val="InternetLink"/>
                  <w:rFonts w:ascii="Times New Roman;serif" w:hAnsi="Times New Roman;serif"/>
                  <w:b w:val="false"/>
                  <w:color w:val="0000FF"/>
                  <w:sz w:val="20"/>
                  <w:u w:val="single"/>
                </w:rPr>
                <w:t>Item 9.</w:t>
              </w:r>
            </w:hyperlink>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860">
              <w:r>
                <w:rPr>
                  <w:rStyle w:val="InternetLink"/>
                  <w:rFonts w:ascii="Times New Roman;serif" w:hAnsi="Times New Roman;serif"/>
                  <w:b w:val="false"/>
                  <w:color w:val="000080"/>
                  <w:sz w:val="20"/>
                  <w:u w:val="single"/>
                </w:rPr>
                <w:t>Changes in and Disagreements With Accountants on Accounting and Financial Disclosure</w:t>
              </w:r>
            </w:hyperlink>
            <w:hyperlink w:anchor="ib8d4c0322044448ab394c86998693fbc_860">
              <w:r>
                <w:rPr>
                  <w:rStyle w:val="InternetLink"/>
                  <w:rFonts w:ascii="Times New Roman;serif" w:hAnsi="Times New Roman;serif"/>
                  <w:b w:val="false"/>
                  <w:color w:val="000080"/>
                  <w:sz w:val="20"/>
                  <w:u w:val="single"/>
                </w:rPr>
                <w:t>.</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8d4c0322044448ab394c86998693fbc_860">
              <w:r>
                <w:rPr>
                  <w:rStyle w:val="InternetLink"/>
                  <w:rFonts w:ascii="Times New Roman;serif" w:hAnsi="Times New Roman;serif"/>
                  <w:b w:val="false"/>
                  <w:strike w:val="false"/>
                  <w:dstrike w:val="false"/>
                  <w:color w:val="000000"/>
                  <w:sz w:val="20"/>
                  <w:u w:val="none"/>
                  <w:effect w:val="none"/>
                </w:rPr>
                <w:t>106</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139">
              <w:r>
                <w:rPr>
                  <w:rStyle w:val="InternetLink"/>
                  <w:rFonts w:ascii="Times New Roman;serif" w:hAnsi="Times New Roman;serif"/>
                  <w:b w:val="false"/>
                  <w:color w:val="0000FF"/>
                  <w:sz w:val="20"/>
                  <w:u w:val="single"/>
                </w:rPr>
                <w:t>Item 9A.</w:t>
              </w:r>
            </w:hyperlink>
          </w:p>
        </w:tc>
        <w:tc>
          <w:tcPr>
            <w:tcW w:w="8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139">
              <w:r>
                <w:rPr>
                  <w:rStyle w:val="InternetLink"/>
                  <w:rFonts w:ascii="Times New Roman;serif" w:hAnsi="Times New Roman;serif"/>
                  <w:b w:val="false"/>
                  <w:color w:val="000080"/>
                  <w:sz w:val="20"/>
                  <w:u w:val="single"/>
                </w:rPr>
                <w:t>Controls and Procedures</w:t>
              </w:r>
            </w:hyperlink>
            <w:hyperlink w:anchor="ib8d4c0322044448ab394c86998693fbc_139">
              <w:r>
                <w:rPr>
                  <w:rStyle w:val="InternetLink"/>
                  <w:rFonts w:ascii="Times New Roman;serif" w:hAnsi="Times New Roman;serif"/>
                  <w:b w:val="false"/>
                  <w:color w:val="000080"/>
                  <w:sz w:val="20"/>
                  <w:u w:val="single"/>
                </w:rPr>
                <w:t>.</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8d4c0322044448ab394c86998693fbc_139">
              <w:r>
                <w:rPr>
                  <w:rStyle w:val="InternetLink"/>
                  <w:rFonts w:ascii="Times New Roman;serif" w:hAnsi="Times New Roman;serif"/>
                  <w:b w:val="false"/>
                  <w:strike w:val="false"/>
                  <w:dstrike w:val="false"/>
                  <w:color w:val="000000"/>
                  <w:sz w:val="20"/>
                  <w:u w:val="none"/>
                  <w:effect w:val="none"/>
                </w:rPr>
                <w:t>106</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160">
              <w:r>
                <w:rPr>
                  <w:rStyle w:val="InternetLink"/>
                  <w:rFonts w:ascii="Times New Roman;serif" w:hAnsi="Times New Roman;serif"/>
                  <w:b w:val="false"/>
                  <w:color w:val="0000FF"/>
                  <w:sz w:val="20"/>
                  <w:u w:val="single"/>
                </w:rPr>
                <w:t>Item 9B.</w:t>
              </w:r>
            </w:hyperlink>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160">
              <w:r>
                <w:rPr>
                  <w:rStyle w:val="InternetLink"/>
                  <w:rFonts w:ascii="Times New Roman;serif" w:hAnsi="Times New Roman;serif"/>
                  <w:b w:val="false"/>
                  <w:color w:val="000080"/>
                  <w:sz w:val="20"/>
                  <w:u w:val="single"/>
                </w:rPr>
                <w:t>Other Information</w:t>
              </w:r>
            </w:hyperlink>
            <w:hyperlink w:anchor="ib8d4c0322044448ab394c86998693fbc_160">
              <w:r>
                <w:rPr>
                  <w:rStyle w:val="InternetLink"/>
                  <w:rFonts w:ascii="Times New Roman;serif" w:hAnsi="Times New Roman;serif"/>
                  <w:b w:val="false"/>
                  <w:color w:val="000080"/>
                  <w:sz w:val="20"/>
                  <w:u w:val="single"/>
                </w:rPr>
                <w:t>.</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8d4c0322044448ab394c86998693fbc_160">
              <w:r>
                <w:rPr>
                  <w:rStyle w:val="InternetLink"/>
                  <w:rFonts w:ascii="Times New Roman;serif" w:hAnsi="Times New Roman;serif"/>
                  <w:b w:val="false"/>
                  <w:strike w:val="false"/>
                  <w:dstrike w:val="false"/>
                  <w:color w:val="000000"/>
                  <w:sz w:val="20"/>
                  <w:u w:val="none"/>
                  <w:effect w:val="none"/>
                </w:rPr>
                <w:t>106</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876">
              <w:r>
                <w:rPr>
                  <w:rStyle w:val="InternetLink"/>
                  <w:rFonts w:ascii="Times New Roman;serif" w:hAnsi="Times New Roman;serif"/>
                  <w:b w:val="false"/>
                  <w:color w:val="0000FF"/>
                  <w:sz w:val="20"/>
                  <w:u w:val="single"/>
                </w:rPr>
                <w:t>Item 9C.</w:t>
              </w:r>
            </w:hyperlink>
          </w:p>
        </w:tc>
        <w:tc>
          <w:tcPr>
            <w:tcW w:w="8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876">
              <w:r>
                <w:rPr>
                  <w:rStyle w:val="InternetLink"/>
                  <w:rFonts w:ascii="Times New Roman;serif" w:hAnsi="Times New Roman;serif"/>
                  <w:b w:val="false"/>
                  <w:color w:val="000080"/>
                  <w:sz w:val="20"/>
                  <w:u w:val="single"/>
                </w:rPr>
                <w:t>Disclosure Regarding Foreign Jurisdictions that Prevent Inspections</w:t>
              </w:r>
            </w:hyperlink>
            <w:hyperlink w:anchor="ib8d4c0322044448ab394c86998693fbc_876">
              <w:r>
                <w:rPr>
                  <w:rStyle w:val="InternetLink"/>
                  <w:rFonts w:ascii="Times New Roman;serif" w:hAnsi="Times New Roman;serif"/>
                  <w:b w:val="false"/>
                  <w:color w:val="000080"/>
                  <w:sz w:val="20"/>
                  <w:u w:val="single"/>
                </w:rPr>
                <w:t>.</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8d4c0322044448ab394c86998693fbc_876">
              <w:r>
                <w:rPr>
                  <w:rStyle w:val="InternetLink"/>
                  <w:rFonts w:ascii="Times New Roman;serif" w:hAnsi="Times New Roman;serif"/>
                  <w:b w:val="false"/>
                  <w:strike w:val="false"/>
                  <w:dstrike w:val="false"/>
                  <w:color w:val="000000"/>
                  <w:sz w:val="20"/>
                  <w:u w:val="none"/>
                  <w:effect w:val="none"/>
                </w:rPr>
                <w:t>107</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8d4c0322044448ab394c86998693fbc_882">
              <w:r>
                <w:rPr>
                  <w:rStyle w:val="InternetLink"/>
                  <w:rFonts w:ascii="Times New Roman;serif" w:hAnsi="Times New Roman;serif"/>
                  <w:b/>
                  <w:strike w:val="false"/>
                  <w:dstrike w:val="false"/>
                  <w:color w:val="000000"/>
                  <w:sz w:val="20"/>
                  <w:u w:val="none"/>
                  <w:effect w:val="none"/>
                </w:rPr>
                <w:t>PART III</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890">
              <w:r>
                <w:rPr>
                  <w:rStyle w:val="InternetLink"/>
                  <w:rFonts w:ascii="Times New Roman;serif" w:hAnsi="Times New Roman;serif"/>
                  <w:b w:val="false"/>
                  <w:color w:val="0000FF"/>
                  <w:sz w:val="20"/>
                  <w:u w:val="single"/>
                </w:rPr>
                <w:t>Item 10.</w:t>
              </w:r>
            </w:hyperlink>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890">
              <w:r>
                <w:rPr>
                  <w:rStyle w:val="InternetLink"/>
                  <w:rFonts w:ascii="Times New Roman;serif" w:hAnsi="Times New Roman;serif"/>
                  <w:b w:val="false"/>
                  <w:color w:val="000080"/>
                  <w:sz w:val="20"/>
                  <w:u w:val="single"/>
                </w:rPr>
                <w:t>Directors, Executive Officers and Corporate Governance</w:t>
              </w:r>
            </w:hyperlink>
            <w:hyperlink w:anchor="ib8d4c0322044448ab394c86998693fbc_890">
              <w:r>
                <w:rPr>
                  <w:rStyle w:val="InternetLink"/>
                  <w:rFonts w:ascii="Times New Roman;serif" w:hAnsi="Times New Roman;serif"/>
                  <w:b w:val="false"/>
                  <w:color w:val="000080"/>
                  <w:sz w:val="20"/>
                  <w:u w:val="single"/>
                </w:rPr>
                <w:t>.</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8d4c0322044448ab394c86998693fbc_890">
              <w:r>
                <w:rPr>
                  <w:rStyle w:val="InternetLink"/>
                  <w:rFonts w:ascii="Times New Roman;serif" w:hAnsi="Times New Roman;serif"/>
                  <w:b w:val="false"/>
                  <w:strike w:val="false"/>
                  <w:dstrike w:val="false"/>
                  <w:color w:val="000000"/>
                  <w:sz w:val="20"/>
                  <w:u w:val="none"/>
                  <w:effect w:val="none"/>
                </w:rPr>
                <w:t>107</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902">
              <w:r>
                <w:rPr>
                  <w:rStyle w:val="InternetLink"/>
                  <w:rFonts w:ascii="Times New Roman;serif" w:hAnsi="Times New Roman;serif"/>
                  <w:b w:val="false"/>
                  <w:color w:val="0000FF"/>
                  <w:sz w:val="20"/>
                  <w:u w:val="single"/>
                </w:rPr>
                <w:t>Item 11.</w:t>
              </w:r>
            </w:hyperlink>
          </w:p>
        </w:tc>
        <w:tc>
          <w:tcPr>
            <w:tcW w:w="8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902">
              <w:r>
                <w:rPr>
                  <w:rStyle w:val="InternetLink"/>
                  <w:rFonts w:ascii="Times New Roman;serif" w:hAnsi="Times New Roman;serif"/>
                  <w:b w:val="false"/>
                  <w:color w:val="0000FF"/>
                  <w:sz w:val="20"/>
                  <w:u w:val="single"/>
                </w:rPr>
                <w:t>Executive Compensation</w:t>
              </w:r>
            </w:hyperlink>
            <w:r>
              <w:rPr>
                <w:rFonts w:ascii="Times New Roman;serif" w:hAnsi="Times New Roman;serif"/>
                <w:b w:val="false"/>
                <w:color w:val="000000"/>
                <w:sz w:val="20"/>
              </w:rPr>
              <w:t>.</w:t>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8d4c0322044448ab394c86998693fbc_902">
              <w:r>
                <w:rPr>
                  <w:rStyle w:val="InternetLink"/>
                  <w:rFonts w:ascii="Times New Roman;serif" w:hAnsi="Times New Roman;serif"/>
                  <w:b w:val="false"/>
                  <w:strike w:val="false"/>
                  <w:dstrike w:val="false"/>
                  <w:color w:val="000000"/>
                  <w:sz w:val="20"/>
                  <w:u w:val="none"/>
                  <w:effect w:val="none"/>
                </w:rPr>
                <w:t>116</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909">
              <w:r>
                <w:rPr>
                  <w:rStyle w:val="InternetLink"/>
                  <w:rFonts w:ascii="Times New Roman;serif" w:hAnsi="Times New Roman;serif"/>
                  <w:b w:val="false"/>
                  <w:color w:val="0000FF"/>
                  <w:sz w:val="20"/>
                  <w:u w:val="single"/>
                </w:rPr>
                <w:t>Item 12.</w:t>
              </w:r>
            </w:hyperlink>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909">
              <w:r>
                <w:rPr>
                  <w:rStyle w:val="InternetLink"/>
                  <w:rFonts w:ascii="Times New Roman;serif" w:hAnsi="Times New Roman;serif"/>
                  <w:b w:val="false"/>
                  <w:color w:val="0000FF"/>
                  <w:sz w:val="20"/>
                  <w:u w:val="single"/>
                </w:rPr>
                <w:t>Security Ownership of Certain Beneficial Owners and Management and Related Stockholder Matters</w:t>
              </w:r>
            </w:hyperlink>
            <w:r>
              <w:rPr>
                <w:rFonts w:ascii="Times New Roman;serif" w:hAnsi="Times New Roman;serif"/>
                <w:b w:val="false"/>
                <w:color w:val="000000"/>
                <w:sz w:val="20"/>
              </w:rPr>
              <w:t>.</w:t>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8d4c0322044448ab394c86998693fbc_909">
              <w:r>
                <w:rPr>
                  <w:rStyle w:val="InternetLink"/>
                  <w:rFonts w:ascii="Times New Roman;serif" w:hAnsi="Times New Roman;serif"/>
                  <w:b w:val="false"/>
                  <w:strike w:val="false"/>
                  <w:dstrike w:val="false"/>
                  <w:color w:val="000000"/>
                  <w:sz w:val="20"/>
                  <w:u w:val="none"/>
                  <w:effect w:val="none"/>
                </w:rPr>
                <w:t>121</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916">
              <w:r>
                <w:rPr>
                  <w:rStyle w:val="InternetLink"/>
                  <w:rFonts w:ascii="Times New Roman;serif" w:hAnsi="Times New Roman;serif"/>
                  <w:b w:val="false"/>
                  <w:color w:val="0000FF"/>
                  <w:sz w:val="20"/>
                  <w:u w:val="single"/>
                </w:rPr>
                <w:t>Item 13.</w:t>
              </w:r>
            </w:hyperlink>
          </w:p>
        </w:tc>
        <w:tc>
          <w:tcPr>
            <w:tcW w:w="8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916">
              <w:r>
                <w:rPr>
                  <w:rStyle w:val="InternetLink"/>
                  <w:rFonts w:ascii="Times New Roman;serif" w:hAnsi="Times New Roman;serif"/>
                  <w:b w:val="false"/>
                  <w:color w:val="0000FF"/>
                  <w:sz w:val="20"/>
                  <w:u w:val="single"/>
                </w:rPr>
                <w:t>Certain Relationships and Related Transactions, and Director Independence</w:t>
              </w:r>
            </w:hyperlink>
            <w:r>
              <w:rPr>
                <w:rFonts w:ascii="Times New Roman;serif" w:hAnsi="Times New Roman;serif"/>
                <w:b w:val="false"/>
                <w:color w:val="000000"/>
                <w:sz w:val="20"/>
              </w:rPr>
              <w:t>.</w:t>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8d4c0322044448ab394c86998693fbc_916">
              <w:r>
                <w:rPr>
                  <w:rStyle w:val="InternetLink"/>
                  <w:rFonts w:ascii="Times New Roman;serif" w:hAnsi="Times New Roman;serif"/>
                  <w:b w:val="false"/>
                  <w:strike w:val="false"/>
                  <w:dstrike w:val="false"/>
                  <w:color w:val="000000"/>
                  <w:sz w:val="20"/>
                  <w:u w:val="none"/>
                  <w:effect w:val="none"/>
                </w:rPr>
                <w:t>123</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923">
              <w:r>
                <w:rPr>
                  <w:rStyle w:val="InternetLink"/>
                  <w:rFonts w:ascii="Times New Roman;serif" w:hAnsi="Times New Roman;serif"/>
                  <w:b w:val="false"/>
                  <w:color w:val="0000FF"/>
                  <w:sz w:val="20"/>
                  <w:u w:val="single"/>
                </w:rPr>
                <w:t>Item 14.</w:t>
              </w:r>
            </w:hyperlink>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923">
              <w:r>
                <w:rPr>
                  <w:rStyle w:val="InternetLink"/>
                  <w:rFonts w:ascii="Times New Roman;serif" w:hAnsi="Times New Roman;serif"/>
                  <w:b w:val="false"/>
                  <w:color w:val="0000FF"/>
                  <w:sz w:val="20"/>
                  <w:u w:val="single"/>
                </w:rPr>
                <w:t>Principal Accounting Fees and Services</w:t>
              </w:r>
            </w:hyperlink>
            <w:r>
              <w:rPr>
                <w:rFonts w:ascii="Times New Roman;serif" w:hAnsi="Times New Roman;serif"/>
                <w:b w:val="false"/>
                <w:color w:val="000000"/>
                <w:sz w:val="20"/>
              </w:rPr>
              <w:t>.</w:t>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8d4c0322044448ab394c86998693fbc_923">
              <w:r>
                <w:rPr>
                  <w:rStyle w:val="InternetLink"/>
                  <w:rFonts w:ascii="Times New Roman;serif" w:hAnsi="Times New Roman;serif"/>
                  <w:b w:val="false"/>
                  <w:strike w:val="false"/>
                  <w:dstrike w:val="false"/>
                  <w:color w:val="000000"/>
                  <w:sz w:val="20"/>
                  <w:u w:val="none"/>
                  <w:effect w:val="none"/>
                </w:rPr>
                <w:t>127</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8d4c0322044448ab394c86998693fbc_930">
              <w:r>
                <w:rPr>
                  <w:rStyle w:val="InternetLink"/>
                  <w:rFonts w:ascii="Times New Roman;serif" w:hAnsi="Times New Roman;serif"/>
                  <w:b/>
                  <w:strike w:val="false"/>
                  <w:dstrike w:val="false"/>
                  <w:color w:val="000000"/>
                  <w:sz w:val="20"/>
                  <w:u w:val="none"/>
                  <w:effect w:val="none"/>
                </w:rPr>
                <w:t>PART IV</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163">
              <w:r>
                <w:rPr>
                  <w:rStyle w:val="InternetLink"/>
                  <w:rFonts w:ascii="Times New Roman;serif" w:hAnsi="Times New Roman;serif"/>
                  <w:b w:val="false"/>
                  <w:color w:val="0000FF"/>
                  <w:sz w:val="20"/>
                  <w:u w:val="single"/>
                </w:rPr>
                <w:t>Item 15.</w:t>
              </w:r>
            </w:hyperlink>
          </w:p>
        </w:tc>
        <w:tc>
          <w:tcPr>
            <w:tcW w:w="8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163">
              <w:r>
                <w:rPr>
                  <w:rStyle w:val="InternetLink"/>
                  <w:rFonts w:ascii="Times New Roman;serif" w:hAnsi="Times New Roman;serif"/>
                  <w:b w:val="false"/>
                  <w:color w:val="000080"/>
                  <w:sz w:val="20"/>
                  <w:u w:val="single"/>
                </w:rPr>
                <w:t>Exhibits and Financial Statement Schedules</w:t>
              </w:r>
            </w:hyperlink>
            <w:hyperlink w:anchor="ib8d4c0322044448ab394c86998693fbc_163">
              <w:r>
                <w:rPr>
                  <w:rStyle w:val="InternetLink"/>
                  <w:rFonts w:ascii="Times New Roman;serif" w:hAnsi="Times New Roman;serif"/>
                  <w:b w:val="false"/>
                  <w:color w:val="000080"/>
                  <w:sz w:val="20"/>
                  <w:u w:val="single"/>
                </w:rPr>
                <w:t>.</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8d4c0322044448ab394c86998693fbc_163">
              <w:r>
                <w:rPr>
                  <w:rStyle w:val="InternetLink"/>
                  <w:rFonts w:ascii="Times New Roman;serif" w:hAnsi="Times New Roman;serif"/>
                  <w:b w:val="false"/>
                  <w:strike w:val="false"/>
                  <w:dstrike w:val="false"/>
                  <w:color w:val="000000"/>
                  <w:sz w:val="20"/>
                  <w:u w:val="none"/>
                  <w:effect w:val="none"/>
                </w:rPr>
                <w:t>128</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947">
              <w:r>
                <w:rPr>
                  <w:rStyle w:val="InternetLink"/>
                  <w:rFonts w:ascii="Times New Roman;serif" w:hAnsi="Times New Roman;serif"/>
                  <w:b w:val="false"/>
                  <w:color w:val="0000FF"/>
                  <w:sz w:val="20"/>
                  <w:u w:val="single"/>
                </w:rPr>
                <w:t>Item 16.</w:t>
              </w:r>
            </w:hyperlink>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947">
              <w:r>
                <w:rPr>
                  <w:rStyle w:val="InternetLink"/>
                  <w:rFonts w:ascii="Times New Roman;serif" w:hAnsi="Times New Roman;serif"/>
                  <w:b w:val="false"/>
                  <w:color w:val="000080"/>
                  <w:sz w:val="20"/>
                  <w:u w:val="single"/>
                </w:rPr>
                <w:t>Form 10-K Summary</w:t>
              </w:r>
            </w:hyperlink>
            <w:hyperlink w:anchor="ib8d4c0322044448ab394c86998693fbc_947">
              <w:r>
                <w:rPr>
                  <w:rStyle w:val="InternetLink"/>
                  <w:rFonts w:ascii="Times New Roman;serif" w:hAnsi="Times New Roman;serif"/>
                  <w:b w:val="false"/>
                  <w:color w:val="000080"/>
                  <w:sz w:val="20"/>
                  <w:u w:val="single"/>
                </w:rPr>
                <w:t>.</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8d4c0322044448ab394c86998693fbc_947">
              <w:r>
                <w:rPr>
                  <w:rStyle w:val="InternetLink"/>
                  <w:rFonts w:ascii="Times New Roman;serif" w:hAnsi="Times New Roman;serif"/>
                  <w:b w:val="false"/>
                  <w:strike w:val="false"/>
                  <w:dstrike w:val="false"/>
                  <w:color w:val="000000"/>
                  <w:sz w:val="20"/>
                  <w:u w:val="none"/>
                  <w:effect w:val="none"/>
                </w:rPr>
                <w:t>131</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166">
              <w:r>
                <w:rPr>
                  <w:rStyle w:val="InternetLink"/>
                  <w:rFonts w:ascii="Times New Roman;serif" w:hAnsi="Times New Roman;serif"/>
                  <w:b w:val="false"/>
                  <w:color w:val="0000FF"/>
                  <w:sz w:val="20"/>
                  <w:u w:val="single"/>
                </w:rPr>
                <w:t>Signatures</w:t>
              </w:r>
            </w:hyperlink>
          </w:p>
        </w:tc>
        <w:tc>
          <w:tcPr>
            <w:tcW w:w="8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before="0" w:after="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center"/>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This Annual Report on Form 10-K (this “Annual Report”) contains forward-looking statements within the meaning of the federal securities laws, which statements involve substantial risks and uncertainties. Such forward-looking statements may include our or our management teams’ expectations, hopes, beliefs, intentions or strategies regarding the future. Forward-looking statements may be identified by the use of words such as “anticipate,” “believe,” “continue,” “could,” “estimate,” “expect,” “forecast,” “intend,” “may,” “plan,” “potential,” “project,” “seek,” “should,” “will,” “would” and similar expressions that predict or indicate future events or trends or that are not statements of historical matters, but the absence of these words does not mean that a statement is not forward-looking. Forward-looking statements in this Annual Report may include, for example, statements about:</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operational and product roadmap, and our ability to produce and deploy the Kodiak Driver at scale;</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the regulatory landscape for the Kodiak Driver and complexities with compliance related to such landscape, including with respect to recent changes in tariffs and trade policy;</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the evolution of our business model over time;</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developments relating to our competitors and industry;</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ability to successfully collaborate with business partners, suppliers, and customers;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expectations regarding our ability to obtain, maintain, protect and enforce our intellectual property rights;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future capital requirements and sources and uses of cash;</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success in retaining or recruiting, or changes required in, our officers, key employees or directors;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expectations regarding expansion plans and opportunities, including into international markets;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the potential liquidity and trading of our public securities;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the ongoing effects of current and future global economic conditions;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any changes in our strategy, future operations, financial position, estimated revenues and losses, projected costs, prospects and plans; and</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expectations regarding our status as an emerging growth company under the JOBS Act.</w:t>
      </w:r>
    </w:p>
    <w:p>
      <w:pPr>
        <w:pStyle w:val="TextBody"/>
        <w:bidi w:val="0"/>
        <w:spacing w:before="0" w:after="0"/>
        <w:ind w:left="0" w:right="0" w:firstLine="72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are based on information available as of the date of this Annual Report and current expectations, forecasts and assumptions and involve a number of judgments, risks and uncertainties.</w:t>
      </w:r>
    </w:p>
    <w:p>
      <w:pPr>
        <w:pStyle w:val="TextBody"/>
        <w:bidi w:val="0"/>
        <w:spacing w:before="0" w:after="0"/>
        <w:ind w:left="0" w:right="0" w:firstLine="72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Accordingly, forward-looking statements should not be relied upon as representing our views as of any subsequent date. Except as required under applicable securities laws, neither we nor our affiliates have any obligation and specifically disclaim any such obligation to update forward-looking statements to reflect events or circumstances after the date they were made, whether as a result of new information, future events or otherwise. These forward-looking statements are provided for illustrative purposes only and are not intended to serve as and must not be relied on by investors as a guarantee, an assurance, a prediction or a definitive statement of fact or probability. We caution you that the foregoing list does not contain all of the forward-looking statements made in this Annual Report.</w:t>
      </w:r>
    </w:p>
    <w:p>
      <w:pPr>
        <w:pStyle w:val="TextBody"/>
        <w:bidi w:val="0"/>
        <w:spacing w:before="0" w:after="0"/>
        <w:ind w:left="0" w:right="0" w:firstLine="72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operate in a competitive and rapidly changing environment. New risks and uncertainties emerge from time to time and it is not possible for us to predict all risks and uncertainties that could have an impact on the forward-looking statements contained in this Annual Report. We cannot assure you that the results, events and circumstances reflected in the forward-looking statements will be achieved or occur, and actual results, events or circumstances could differ materially from those described in the forward-looking statements. Some factors that could cause actual results to differ include:</w: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significant risks and uncertainties associated with rapidly evolving autonomous vehicle (“AV”) technology;</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 xml:space="preserve">our limited operating history, including our net losses and undemonstrated ability to achieve profitability;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execute our Driver-as-a-Service or DaaS business model, including maintaining, retaining and expanding customer relationships and scaling production and commercial deliveries on expected timelines;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any flaws or errors in our solutions or flaws in or misuse of AV technology in general;</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the risk of significant injury, including fatalities, presented by AV technology;</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the effects of competition on our business;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risks related to working with third-party suppliers, OEMs, upfitters, service providers and partners for key components of the Kodiak Driver, including supply shortages, lead times, and operational design domain ("ODD") expansion;</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dependence on a limited number of customers, including Atlas and defense customers, for a significant portion of our revenue;</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reliance on the experience and expertise of our management team, engineers and other key employees;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ability to establish, maintain, protect or enforce our technology and intellectual property rights and defend intellectual property infringement claims from others;</w:t>
      </w:r>
    </w:p>
    <w:p>
      <w:pPr>
        <w:pStyle w:val="TextBody"/>
        <w:bidi w:val="0"/>
        <w:spacing w:lineRule="auto" w:line="288" w:before="120" w:after="120"/>
        <w:ind w:left="0" w:right="0" w:hanging="360"/>
        <w:jc w:val="left"/>
        <w:rPr/>
      </w:pPr>
      <w:r>
        <w:rPr>
          <w:color w:val="231F20"/>
        </w:rPr>
        <w:t>•    </w:t>
      </w:r>
      <w:r>
        <w:rPr>
          <w:rFonts w:ascii="Times New Roman;serif" w:hAnsi="Times New Roman;serif"/>
          <w:b w:val="false"/>
          <w:color w:val="000000"/>
          <w:sz w:val="20"/>
        </w:rPr>
        <w:t>changes in the regulatory environment, including changes to tariff and trade policies;</w:t>
      </w:r>
    </w:p>
    <w:p>
      <w:pPr>
        <w:pStyle w:val="TextBody"/>
        <w:bidi w:val="0"/>
        <w:spacing w:lineRule="auto" w:line="268" w:before="0" w:after="0"/>
        <w:ind w:left="0" w:right="0" w:hanging="360"/>
        <w:jc w:val="left"/>
        <w:rPr/>
      </w:pPr>
      <w:r>
        <w:rPr>
          <w:color w:val="231F20"/>
        </w:rPr>
        <w:t>•    </w:t>
      </w:r>
      <w:r>
        <w:rPr>
          <w:rFonts w:ascii="Times New Roman;serif" w:hAnsi="Times New Roman;serif"/>
          <w:b w:val="false"/>
          <w:color w:val="000000"/>
          <w:sz w:val="20"/>
        </w:rPr>
        <w:t>risks related to general business and economic conditions, including those related to the long-haul trucking, industrial trucking, oil and gas and defense ecosystems;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real or perceived inaccuracies in our assumptions and estimates to calculate certain metrics;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ability to raise capital in the future and our ability to manage our growth, cash and expenses;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ability to maintain the listing of our securities on the Nasdaq Stock Market LLC (“Nasdaq”);</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any legal proceedings instituted against us; and</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other risks and uncertainties described in this Annual Report, including those detailed under the section titled “</w:t>
      </w:r>
      <w:r>
        <w:rPr>
          <w:rFonts w:ascii="Times New Roman;serif" w:hAnsi="Times New Roman;serif"/>
          <w:b w:val="false"/>
          <w:i/>
          <w:color w:val="000000"/>
          <w:sz w:val="20"/>
        </w:rPr>
        <w:t>Risk Factors</w:t>
      </w:r>
      <w:r>
        <w:rPr>
          <w:rFonts w:ascii="Times New Roman;serif" w:hAnsi="Times New Roman;serif"/>
          <w:b w:val="false"/>
          <w:color w:val="000000"/>
          <w:sz w:val="20"/>
        </w:rPr>
        <w:t>.”</w:t>
      </w:r>
    </w:p>
    <w:p>
      <w:pPr>
        <w:pStyle w:val="TextBody"/>
        <w:bidi w:val="0"/>
        <w:spacing w:before="0" w:after="0"/>
        <w:ind w:left="0" w:right="0" w:firstLine="72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If any of the risks or uncertainties described in this Annual Report materialize or the underlying assumptions prove incorrect, actual results and plans could differ materially from the results implied by any forward-looking statements. There may be additional risks that we presently do not know or that we currently believe are immaterial that could also cause actual results to differ from those contained in the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28650"/>
                <wp:effectExtent l="0" t="0" r="0" b="0"/>
                <wp:wrapNone/>
                <wp:docPr id="4" name="Frame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360" w:after="36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INFORMATION ABOUT KODIAK</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Unless the context otherwise requires, all references in this section to the “Company,” “Kodiak,” “we,” “us,” or “our” refer to the business of Kodiak Robotics, Inc. prior to the consummation of the Merger (defined below), and to Kodiak AI, Inc. after the completion of the Merger.</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Corporate History and Background</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On September 24, 2025 (the “Closing Date” or “Closing”), Kodiak Robotics, Inc. (“Legacy Kodiak”) and Ares Acquisition Corporation II (“AACT”) consummated the merger transaction (the “Merger”) as contemplated by a definitive business combination agreement (the “BCA”) and AACT changed its name to Kodiak AI, Inc. Our common stock is listed on the Nasdaq under the symbol “KDK,” and our warrants to purchase shares of common stock are listed on the Nasdaq under the symbol “KDKRW.”</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Kodiak is a leading provider of physical AI, with a focus on AI-powered autonomous vehicle (“AV”) technology, that is designed to help tackle some of the toughest driving jobs. Our driverless solution can help address the critical problem of safely transporting goods in the face of unprecedented supply chain challenges. We believe that driverless trucks can enhance road safety, improve truck utilization, reduce costs, expand margins for fleet owners, alleviate supply chain pressures and create better jobs for truck drivers.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Kodiak’s vision is to become the trusted world leader in physical AI. We are committed to a safer and more efficient future for all through the commercialization of driverless trucking at scale. To that end, we developed the Kodiak Driver, a virtual driver that combines advanced AI-powered software with modular and vehicle-agnostic hardware designed to help address our customers’ needs. The Kodiak Driver is a unified physical AI system powered by multiple parallel neural nets that continuously learns and adapts across domains for efficient, scalable autonomy.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Kodiak Driver is not just an idea—it is operating without a human driver today. As of December 31, 2025, Kodiak Driver-powered vehicles have logged over 10,700 Cumulative Hours of Paid Driverless Operations.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built the Kodiak Driver with key technological advantages and differentiators that include: (i) our customer-focused design, engineered for maintainability and uptime; (ii) cutting-edge AI-powered software; (iii) independence from the high-definition (“HD”) maps common in the AV industry; (iv) a common technology platform that is built for scale and adaptable to nearly any modern ground vehicle; and (v) our approach to modular hardware and remote assistance. Notably, we have accomplished this in a highly capital-efficient manner.</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serve customers in the long-haul trucking, industrial trucking, and defense industries. In December 2024, we believe we achieved a historic milestone by becoming the first company to deploy customer-owned and -operated driverless trucks in commercial service. We delivered these driverless trucks to Atlas Energy Solutions (“Atlas”), an oil and gas logistics provider which operates these trucks in the oil-rich Permian Basin of West Texas and Eastern New Mexico. Following successful real-world operations and the achievement of key performance milestones, in March 2025, Atlas committed to deploying the Kodiak Driver on 100 Atlas-owned trucks, subject to the terms of the Atlas MSA. Additionally, we work with some of the largest fleets in the United States, including J.B. Hunt, Werner Enterprises, C.R. England and Martin Brower. As of December 31, 2025, our customers have utilized Kodiak-owned autonomous trucks to deliver more than 12,600 revenue-generating loads across the southern United States.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Kodiak Driver is also being utilized in the defense sector, where we believe it can support national security initiatives and critical government applications. To date, we have recognized in aggregate approximately $30 million in revenue under contracts with the U.S. military to adapt the Kodiak Driver for military vehicles. In early 2026, we were awarded a contract by the U.S. Marine Corps to integrate the Kodiak Driver into the Marine Corps’ Remotely Operated Ground Unit for Expeditionary Fires (ROGUE-Fires) carrier ground vehicle.</w:t>
      </w:r>
    </w:p>
    <w:p>
      <w:pPr>
        <w:pStyle w:val="TextBody"/>
        <w:bidi w:val="0"/>
        <w:spacing w:before="0" w:after="240"/>
        <w:ind w:left="0" w:right="0" w:firstLine="4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expect to continue to grow our Driver-as-a-Service (“DaaS”) business model, which we launched in December 2024 in connection with our partnership with Atlas. Under our DaaS model, our customers are provided with access to the Kodiak Driver on customer-owned and -operated vehicles. Under this model, we generate revenue through either a per-vehicle or per-mile license fee. This flexible approach to pricing is designed to align with our customers’ diverse operational models, while generating predictable, recurring revenue for us. By integrating the Kodiak Driver into customer-owned fleets, we expect to build an asset-light business that can scale with our customers’ growth. We first implemented the DaaS model with Atlas in its industrial domain. Currently, we charge our long-haul customers a traditional per-mile or per-load fee to deliver freight on Kodiak-owned autonomous trucks. We plan to transition those customers to our DaaS model once we commence long-haul driverless operations.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Kodiak was founded by autonomy industry pioneer Don Burnette in 2018. Kodiak’s management team has decades of collective experience across AI, robotics, and AV technology. Our team of 342 employees, as of December 31, 2025, brings experience not only in technology but also operations, trucking and defense.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The AV Industry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For decades, AVs remained a fixture of science fiction. Progress was limited until the early 2000s, when the Defense Advanced Research Projects Agency (“DARPA”) catalyzed the field through a series of landmark competitions known as the DARPA Grand Challenges.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DARPA Grand Challenges led to significant advancements in state-of-the-art sensors, compute and drive-by-wire systems necessary to support AVs. Further, breakthroughs in physical AI and computer vision, powered by increasingly sophisticated graphics processing units (“GPUs”), have accelerated autonomy from the laboratory to real-world deployment. In the United States, policymakers, witnessing these advances, have cleared a regulatory path for AV deployment in 24 states as of December 31, 2025.</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AV technology is no longer a technology of the future – it is currently being deployed across several economically-critical sectors including trucking, personal transportation, last-mile goods delivery and defense, with the public increasingly embracing driverless vehicles. The autonomous trucking sector in particular has recently seen increased customer interest, as the COVID-19 pandemic highlighted the fragility of supply chains to consumers, policymakers and investors.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Our Competitive Advantages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Kodiak Driver’s technological advantages and unique architecture reflects the experience and expertise of our team. We made key architectural decisions early in our development process enabling us to build robust software and modular, durable hardware in a capital efficient manner. Our competitive advantages include: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1.Customer-Focused Design</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2.Cutting-Edge Physical AI Powering a Unified Virtual Driver</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3.Independence from HD Maps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4.Common Technology Platform</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5.Modular Hardware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6.Assisted Autonomy</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7.AI Safety Agent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Customer-Focused Design</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designed the Kodiak Driver with our customers in mind, leveraging our team’s experience deploying and operating real-world products. Specifically, we focused on the factors that we believe are critical for our customers, such as ease of maintenance, reliability and smooth integration into our customers tools and operations. Our iterative and efficient autonomy development process allows our team to move with agility and speed to address our customers’ needs.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Cutting-Edge Physical AI Powering a Unified Virtual Driver</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cutting-edge virtual driver incorporates advancements in physical AI and a fundamentals-based sensor-fusion system. The Kodiak Driver can operate in various complex environments such as highways, dirt roads and off-road, using Kodiak’s Modular Cognitive Architecture to understand the scene. Our neural net framework emphasizes redundancy, end-to-end learnability, interpretability, generalizability and cross-sensor learning. The flexibility of the Kodiak Driver is based on this data-driven system architecture. Our approach is both modular and verifiable, and it utilizes emerging physical AI techniques, including Vision-Language Models (“VLMs”), to easily integrate diverse data streams. Key to our physical AI is our iterative autonomy development process, which involves a defined testing approach and strong systems engineering, thorough yet cost-efficient validation, advanced simulation utilizing technology currently provided by Applied Intuition, Inc. and rigorous software system design. The AI models in our proprietary perception and planning systems are trained and continually improved based on the data we collect through multiple sensing modalities, including camera, radar, and LiDAR sensor returns while a Kodiak Driver-powered vehicle is operating, as well as data from an Inertial Measurement Unit, which is incorporated into the Kodiak Driver. Our supervised learning is based on both manually-processed data processed and AI pre-labeling modules. For example, we use publicly available vision language encoders that are available for commercial use. We train our models on GPU cluster infrastructure, either at our own on-premise data center or in cloud-based clusters.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do not use any third-party data sources in our autonomous system—all of our datasets are proprietary and originate from data we collect while a Kodiak Driver-powered vehicle is operating. This includes data we collect on our own Kodiak Driver-powered trucks, as well as data we collect while operating our DaaS model on customer-owned trucks.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Independence from HD Maps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Kodiak Driver operates without relying on HD maps that are common in the AV industry. Instead, the Kodiak Driver is designed to see the road, analyze its surroundings, use limited pre-existing information and incorporate real-time perception. We believe this approach better enables the Kodiak Driver to adapt to construction, obstacles, and shifting lanes.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Additionally, we believe this approach enhances the Kodiak Driver’s ability to operate in unstructured environments, such as the Permian Basin and military theaters, where maps are difficult, if not impossible, to build and maintain. We believe our independence from HD maps will enable broader scalability and resilience in complex and dynamic environments, giving our trucks the flexibility to navigate across a range of situations and locations.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Common Technology Platform</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Kodiak Driver is a single, common technology platform that is designed to operate across multiple vehicle types and in a variety of driving domains. We have already demonstrated the Kodiak Driver on a number of vehicle types, including Class 8 trucks, Ford F-150s and a Textron RIPSAW M3 treaded military vehicle. In addition, this common technology platform allows us to leverage learnings from one domain to the next. Our strategic decisions to expand the Kodiak Driver’s operating domain to highways, surface streets and unimproved roads has created a robust solution that allows us to leverage learnings across driving environments, creating a virtuous technology development cycle.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Modular Hardware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recognize that truck uptime and efficient maintenance are important for our customers. We designed modular hardware that is easy to service and maintain without the need for specialized technicians. This technology enables our customers to keep their Kodiak Driver-powered trucks up and running. Our focus on meeting these needs is evident in the design of our SensorPods, which are engineered to be replaced in less time than it takes to change a tire. We also recently announced a strategic agreement with Bosch, a leading global supplier of technology and services, to collaborate on and scale the manufacturing of a production-grade, redundant autonomous platform. This platform contains the specialized hardware, firmware, and software interfaces that enable the Kodiak Driver to automate trucks—either on a vehicle production line or through an upfitting partner.</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Assisted Autonomy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Kodiak Driver is designed to operate across a variety of environments. We have enhanced this capability by developing an end-to-end service capability, which we call Assisted Autonomy. Assisted Autonomy blends remote support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with onboard autonomy to create a solution that enables flexibility and safety. When operating in Assisted Autonomy mode, a driver holding a commercial driver’s license sits at a remote assistance station with intuitive controls including a steering wheel, pedals and brakes to provide guidance to the Kodiak Driver. Assisted Autonomy integrates into the Kodiak Driver’s AI safeguards, and uses redundant, low latency communications to enable safe, high-reliability remote assistance. We developed our Assisted Autonomy system to offer reliable end-to-end solutions, leading to reduced development costs and additional operational flexibility for our customers, and operate our Assisted Autonomy system in partnership with Vay Technology Inc. (“Vay”). Vay’s stations and software tools enable communication with the trucks using multiple redundant communications protocols, offering a more flexible driver-out solution that facilitates broad operational capabilities.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Connectivity for Kodiak's Assisted Autonomy technology is powered by Verizon. Verizon's 5G and LTE networks allow Kodiak’s driverless vehicles to communicate with Assisted Autonomy drivers and send mission-critical communication between vehicles and our 24/7 Operations Center, with low latency over long distances in remote environments.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AI Safety Agent</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Kodiak's perception system utilizes our proprietary AI Safety Agent that leverages generative AI-based VLMs to identify and address novel, complex or rare edge case scenarios that can be a challenge for more traditional perception techniques. Using this new approach, the Kodiak Driver can generally identify scenarios like dust devils, flooded roads and car fires. We believe this technology allows us to more efficiently handle the long tail of complex edge cases as we move towards long-haul driverless deployment.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Our Safety Approach</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Safety is the foundation of everything we build. It is the driving force behind what we do and why we do it.</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Building a safe AV is not about using a single approach or achieving a single metric. It is about being comprehensive – identifying reasonably foreseeable risks and building layers of systems and processes to mitigate those risks. This holistic, comprehensive framework, common in safety-critical industries, is called a safety case. We utilize our safety case to provide a structured, evidence-backed argument for why the Kodiak Driver is acceptably safe.</w:t>
      </w:r>
    </w:p>
    <w:p>
      <w:pPr>
        <w:pStyle w:val="TextBody"/>
        <w:bidi w:val="0"/>
        <w:spacing w:lineRule="auto" w:line="26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safety case enables us to foster confidence among customers, regulators and the general public. To complete our driverless safety case for our initial industrial trucking operating domain, we conducted a comprehensive risk evaluation spanning functional safety, behavioral safety, operational safety, cybersecurity and other areas of focus. The evidence from this effort was then assembled into our safety case structure to support the claim that our system is acceptably safe for driverless operations in our off-highway operating domain. We are now working to extend our safety case to additional operating environments, including long-haul trucking. We intend to complete our long-haul safety case, and commence long-haul driverless operations, by the end of 2026.</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Our Safety Case Pillars</w:t>
      </w:r>
    </w:p>
    <w:p>
      <w:pPr>
        <w:pStyle w:val="TextBody"/>
        <w:bidi w:val="0"/>
        <w:spacing w:before="0" w:after="240"/>
        <w:jc w:val="center"/>
        <w:rPr/>
      </w:pPr>
      <w:r>
        <w:rPr/>
        <w:drawing>
          <wp:inline distT="0" distB="0" distL="0" distR="0">
            <wp:extent cx="5486400" cy="1057275"/>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5486400" cy="1057275"/>
                    </a:xfrm>
                    <a:prstGeom prst="rect">
                      <a:avLst/>
                    </a:prstGeom>
                  </pic:spPr>
                </pic:pic>
              </a:graphicData>
            </a:graphic>
          </wp:inline>
        </w:drawing>
      </w:r>
      <w:bookmarkStart w:id="0" w:name="i-1"/>
      <w:bookmarkEnd w:id="0"/>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Core to our safety approach is the Probabilistic Risk Assessment (“PRA”), a technique pioneered by the nuclear and aerospace industries, to quantify behavioral safety risks. The PRA provides a rigorous, data-driven assessment of risk, supporting a measurable and evidenced-backed path to deployment readiness, while helping to identify the highest-priority areas for development.</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PRA breaks down risks into testable and measurable scenarios, starting broad and progressively narrowing into specific, quantifiable events like “static vehicle-in-lane exposures per mile.” This structured risk assessment enables a precise evaluation of our autonomy system’s performance under real-world conditions. By pinpointing key sources of risk, the PRA allows us to prioritize development towards the most critical scenarios. As we continuously expand and refine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PRA model, we systematically determine new engineering priorities, ensuring continuous refinement and ongoing safety improvements.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addition to our safety case framework, we work both individually and with our suppliers to ensure we comply with all applicable Federal Motor Vehicle Safety Standards (“FMVSSs”) and Federal Motor Carrier Safety Regulations (“FMCSRs”). Furthermore, we have established a strong set of principles, policies and procedures designed to promote safety throughout our organization. We work closely with both federal and state regulators to ensure that they are well informed of our operations and approach and commitment to safety.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Our Solution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Kodiak Driver</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are focused on delivering a purpose-built, physical AI-powered ground autonomy solution that enables reliable and efficient driverless movement in a wide variety of environments. The Kodiak Driver’s software stack employs a physical AI-driven approach to ground autonomy, utilizing a single virtual driver across multiple environments, while the Kodiak Driver’s modular hardware is designed for easy maintenance with minimal training. The Kodiak Driver has demonstrated performance in complex environments with different trailer types and weights.</w:t>
      </w:r>
    </w:p>
    <w:p>
      <w:pPr>
        <w:pStyle w:val="TextBody"/>
        <w:bidi w:val="0"/>
        <w:spacing w:before="0" w:after="0"/>
        <w:jc w:val="center"/>
        <w:rPr/>
      </w:pPr>
      <w:r>
        <w:rPr/>
        <w:drawing>
          <wp:inline distT="0" distB="0" distL="0" distR="0">
            <wp:extent cx="5534025" cy="383857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5534025" cy="3838575"/>
                    </a:xfrm>
                    <a:prstGeom prst="rect">
                      <a:avLst/>
                    </a:prstGeom>
                  </pic:spPr>
                </pic:pic>
              </a:graphicData>
            </a:graphic>
          </wp:inline>
        </w:drawing>
      </w:r>
      <w:bookmarkStart w:id="1" w:name="i-2"/>
      <w:bookmarkEnd w:id="1"/>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Oversight and Integration Tools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Kodiak has built oversight and integration tools that allow us to deliver a comprehensive and turnkey AV solution to our customers. This includes Kodiak OnTime, Kodiak’s proprietary suite of support services and tools designed to provide smooth integration with customer operations. Kodiak OnTime integrates the Kodiak Driver with our customers’ management systems, including fleet management, transportation management and yard operations. In addition, Kodiak OnTime enables real-time tracking and status updates, and includes in-field applications for inspections as well as services to keep trucks moving safely and efficiently. Kodiak’s 24/7 Operations Center gives our operations specialists real-time visibility into every Kodiak Driver-powered truck, supporting efficient and reliable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 Business Model Tailored to Customer Operations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Kodiak offers the Kodiak Driver for a recurring license fee. Integrating the Kodiak Driver into customer-owned vehicles allows us to maintain a more asset-light business model. Under our DaaS model, which we launched in December 2024 in connection with our partnership with Atlas, we charge a per-vehicle or per-mile license fee, depending on which fee structure better fits into our customers’ operations. These license fees cover the use of the Kodiak Driver hardware and software platforms, access to software and routing updates, maintenance of the autonomous system, remote monitoring and assistance and access to Kodiak OnTime and other services.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integration with our customers’ information management systems through Kodiak OnTime will aid in customer retention, as our customers adapt their processes and tools specifically to incorporate the Kodiak Driver. We anticipate entering into long-term master service contracts with our customers which will provide for per-truck or per-mile license fees and terms of three to four years in our trucking business.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will deliver certain components of our offerings, such as maintenance, hardware financing and insurance, in conjunction with our third-party partner network. We believe that this business model will allow us to scale while maintaining high margins – we succeed as our customers succeed.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Technology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Kodiak’s Self-Driving Software Stack</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Kodiak Driver uses a Modular Cognitive Architecture consisting of several parallel deep neural nets that simultaneously process large amounts of sensor data to perceive and understand the truck’s operating environment and its place within it, classify the objects and actors in its field of view, predict the behavior of those actors, and create and execute a motion plan for where to drive. Our data-driven AI framework emphasizes redundancy, end-to-end learnability, interpretability, generalizability and cross-sensor learning.</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Kodiak Driver pulls in information from its suite of sensors: cameras, radars and LiDARs. Each of these sensors has its own strengths and benefits, and we purposefully arrange them with overlapping fields of view designed to improve safety. The Kodiak Driver’s AI-powered perception system then processes that sensor information, turning raw sensor data into actionable information. Next, the Kodiak Driver uses this information to determine its location, orientation and speed in relation to other objects and actors. It then formulates a motion plan for where to drive, setting both speed and trajectory to establish a safe path. Finally, the Kodiak Driver’s controls layer communicates with the underlying truck, applying the throttle or brakes and turning the wheels, as applicable. This full cycle repeats itself ten times every second.</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Kodiak Driver also utilizes technologies that promote safe and reliable operations even in challenging situations. Kodiak’s proprietary fallback system is designed to enable a Kodiak Driver-powered vehicle to safely and autonomously move over to the side of the road in the event of a truck or system failure, thereby achieving a minimal risk condition. Ten times each second, the Kodiak Driver evaluates the performance of more than 1,000 safety-critical processes and components in both the self-driving stack and the underlying truck platform. Should any of these critical components fall outside the acceptable performance parameters, the Kodiak Driver automatically executes a fallback plan, safely pulling the truck over to the side of the road. This fallback capability is critical for promoting safe operations. Our perception system also uses a proprietary, patent-pending system that leverages generative AI-based VLMs to identify and respond to novel, complex edge case scenarios that can be a challenge for more traditional perception techniques.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Kodiak’s Hardware Solution</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Guided by its ecosystem-first approach, Kodiak has developed differentiated, modular hardware to power its driverless operations. This hardware includes: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drawing>
          <wp:inline distT="0" distB="0" distL="0" distR="0">
            <wp:extent cx="4962525" cy="3467100"/>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4"/>
                    <a:stretch>
                      <a:fillRect/>
                    </a:stretch>
                  </pic:blipFill>
                  <pic:spPr bwMode="auto">
                    <a:xfrm>
                      <a:off x="0" y="0"/>
                      <a:ext cx="4962525" cy="3467100"/>
                    </a:xfrm>
                    <a:prstGeom prst="rect">
                      <a:avLst/>
                    </a:prstGeom>
                  </pic:spPr>
                </pic:pic>
              </a:graphicData>
            </a:graphic>
          </wp:inline>
        </w:drawing>
      </w:r>
      <w:bookmarkStart w:id="2" w:name="i-3"/>
      <w:bookmarkEnd w:id="2"/>
    </w:p>
    <w:p>
      <w:pPr>
        <w:pStyle w:val="TextBody"/>
        <w:bidi w:val="0"/>
        <w:spacing w:lineRule="auto" w:line="288" w:before="0" w:after="120"/>
        <w:ind w:left="0" w:right="0" w:hanging="360"/>
        <w:jc w:val="left"/>
        <w:rPr/>
      </w:pPr>
      <w:r>
        <w:rPr>
          <w:rFonts w:ascii="Times New Roman;serif" w:hAnsi="Times New Roman;serif"/>
          <w:b w:val="false"/>
          <w:color w:val="000000"/>
          <w:sz w:val="22"/>
        </w:rPr>
        <w:t>1.</w:t>
      </w:r>
      <w:r>
        <w:rPr>
          <w:rFonts w:ascii="Times New Roman;serif" w:hAnsi="Times New Roman;serif"/>
          <w:b/>
          <w:color w:val="231F20"/>
          <w:sz w:val="20"/>
        </w:rPr>
        <w:t>SensorPods</w:t>
      </w:r>
      <w:r>
        <w:rPr>
          <w:color w:val="231F20"/>
        </w:rPr>
        <w:t>—</w:t>
      </w:r>
      <w:r>
        <w:rPr>
          <w:rFonts w:ascii="Times New Roman;serif" w:hAnsi="Times New Roman;serif"/>
          <w:b w:val="false"/>
          <w:color w:val="231F20"/>
          <w:sz w:val="20"/>
        </w:rPr>
        <w:t>Kodiak’s proprietary SensorPods are mirror-mounted self-contained modules that contain</w:t>
      </w:r>
      <w:r>
        <w:rPr>
          <w:color w:val="231F20"/>
        </w:rPr>
        <w:t xml:space="preserve"> </w:t>
      </w:r>
      <w:r>
        <w:rPr>
          <w:rFonts w:ascii="Times New Roman;serif" w:hAnsi="Times New Roman;serif"/>
          <w:b w:val="false"/>
          <w:color w:val="231F20"/>
          <w:sz w:val="20"/>
        </w:rPr>
        <w:t>cameras,</w:t>
      </w:r>
      <w:r>
        <w:rPr>
          <w:color w:val="231F20"/>
        </w:rPr>
        <w:t xml:space="preserve"> </w:t>
      </w:r>
      <w:r>
        <w:rPr>
          <w:rFonts w:ascii="Times New Roman;serif" w:hAnsi="Times New Roman;serif"/>
          <w:b w:val="false"/>
          <w:color w:val="231F20"/>
          <w:sz w:val="20"/>
        </w:rPr>
        <w:t>radars</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LiDARs.</w:t>
      </w:r>
      <w:r>
        <w:rPr>
          <w:color w:val="231F20"/>
        </w:rPr>
        <w:t xml:space="preserve"> </w:t>
      </w:r>
      <w:r>
        <w:rPr>
          <w:rFonts w:ascii="Times New Roman;serif" w:hAnsi="Times New Roman;serif"/>
          <w:b w:val="false"/>
          <w:color w:val="231F20"/>
          <w:sz w:val="20"/>
        </w:rPr>
        <w:t>With</w:t>
      </w:r>
      <w:r>
        <w:rPr>
          <w:color w:val="231F20"/>
        </w:rPr>
        <w:t xml:space="preserve"> </w:t>
      </w:r>
      <w:r>
        <w:rPr>
          <w:rFonts w:ascii="Times New Roman;serif" w:hAnsi="Times New Roman;serif"/>
          <w:b w:val="false"/>
          <w:color w:val="231F20"/>
          <w:sz w:val="20"/>
        </w:rPr>
        <w:t>two</w:t>
      </w:r>
      <w:r>
        <w:rPr>
          <w:color w:val="231F20"/>
        </w:rPr>
        <w:t xml:space="preserve"> </w:t>
      </w:r>
      <w:r>
        <w:rPr>
          <w:rFonts w:ascii="Times New Roman;serif" w:hAnsi="Times New Roman;serif"/>
          <w:b w:val="false"/>
          <w:color w:val="231F20"/>
          <w:sz w:val="20"/>
        </w:rPr>
        <w:t>SensorPods</w:t>
      </w:r>
      <w:r>
        <w:rPr>
          <w:color w:val="231F20"/>
        </w:rPr>
        <w:t xml:space="preserve"> </w:t>
      </w:r>
      <w:r>
        <w:rPr>
          <w:rFonts w:ascii="Times New Roman;serif" w:hAnsi="Times New Roman;serif"/>
          <w:b w:val="false"/>
          <w:color w:val="231F20"/>
          <w:sz w:val="20"/>
        </w:rPr>
        <w:t>per</w:t>
      </w:r>
      <w:r>
        <w:rPr>
          <w:color w:val="231F20"/>
        </w:rPr>
        <w:t xml:space="preserve"> </w:t>
      </w:r>
      <w:r>
        <w:rPr>
          <w:rFonts w:ascii="Times New Roman;serif" w:hAnsi="Times New Roman;serif"/>
          <w:b w:val="false"/>
          <w:color w:val="231F20"/>
          <w:sz w:val="20"/>
        </w:rPr>
        <w:t>vehicle,</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Kodiak</w:t>
      </w:r>
      <w:r>
        <w:rPr>
          <w:color w:val="231F20"/>
        </w:rPr>
        <w:t xml:space="preserve"> </w:t>
      </w:r>
      <w:r>
        <w:rPr>
          <w:rFonts w:ascii="Times New Roman;serif" w:hAnsi="Times New Roman;serif"/>
          <w:b w:val="false"/>
          <w:color w:val="231F20"/>
          <w:sz w:val="20"/>
        </w:rPr>
        <w:t>Driver</w:t>
      </w:r>
      <w:r>
        <w:rPr>
          <w:color w:val="231F20"/>
        </w:rPr>
        <w:t xml:space="preserve"> </w:t>
      </w:r>
      <w:r>
        <w:rPr>
          <w:rFonts w:ascii="Times New Roman;serif" w:hAnsi="Times New Roman;serif"/>
          <w:b w:val="false"/>
          <w:color w:val="231F20"/>
          <w:sz w:val="20"/>
        </w:rPr>
        <w:t>maintains overlapping fields of view. Kodiak’s patent-pending quick-disconnect attachment is designed to maximize uptime and utilization by enabling fast swaps with minimal training.</w:t>
      </w:r>
    </w:p>
    <w:p>
      <w:pPr>
        <w:pStyle w:val="TextBody"/>
        <w:bidi w:val="0"/>
        <w:spacing w:lineRule="auto" w:line="288" w:before="0" w:after="120"/>
        <w:ind w:left="0" w:right="0" w:hanging="360"/>
        <w:jc w:val="left"/>
        <w:rPr/>
      </w:pPr>
      <w:r>
        <w:rPr>
          <w:rFonts w:ascii="Times New Roman;serif" w:hAnsi="Times New Roman;serif"/>
          <w:b w:val="false"/>
          <w:color w:val="231F20"/>
          <w:sz w:val="22"/>
        </w:rPr>
        <w:t>2.</w:t>
      </w:r>
      <w:r>
        <w:rPr>
          <w:rFonts w:ascii="Times New Roman;serif" w:hAnsi="Times New Roman;serif"/>
          <w:b/>
          <w:color w:val="231F20"/>
          <w:sz w:val="20"/>
        </w:rPr>
        <w:t>Redundant</w:t>
      </w:r>
      <w:r>
        <w:rPr>
          <w:color w:val="231F20"/>
        </w:rPr>
        <w:t xml:space="preserve"> </w:t>
      </w:r>
      <w:r>
        <w:rPr>
          <w:rFonts w:ascii="Times New Roman;serif" w:hAnsi="Times New Roman;serif"/>
          <w:b/>
          <w:color w:val="231F20"/>
          <w:sz w:val="20"/>
        </w:rPr>
        <w:t>Architecture</w:t>
      </w:r>
      <w:r>
        <w:rPr>
          <w:color w:val="231F20"/>
        </w:rPr>
        <w:t>—</w:t>
      </w:r>
      <w:r>
        <w:rPr>
          <w:rFonts w:ascii="Times New Roman;serif" w:hAnsi="Times New Roman;serif"/>
          <w:b w:val="false"/>
          <w:color w:val="231F20"/>
          <w:sz w:val="20"/>
        </w:rPr>
        <w:t>Kodiak’s</w:t>
      </w:r>
      <w:r>
        <w:rPr>
          <w:color w:val="231F20"/>
        </w:rPr>
        <w:t xml:space="preserve"> </w:t>
      </w:r>
      <w:r>
        <w:rPr>
          <w:rFonts w:ascii="Times New Roman;serif" w:hAnsi="Times New Roman;serif"/>
          <w:b w:val="false"/>
          <w:color w:val="231F20"/>
          <w:sz w:val="20"/>
        </w:rPr>
        <w:t>modular</w:t>
      </w:r>
      <w:r>
        <w:rPr>
          <w:color w:val="231F20"/>
        </w:rPr>
        <w:t xml:space="preserve"> </w:t>
      </w:r>
      <w:r>
        <w:rPr>
          <w:rFonts w:ascii="Times New Roman;serif" w:hAnsi="Times New Roman;serif"/>
          <w:b w:val="false"/>
          <w:color w:val="231F20"/>
          <w:sz w:val="20"/>
        </w:rPr>
        <w:t>driverless</w:t>
      </w:r>
      <w:r>
        <w:rPr>
          <w:color w:val="231F20"/>
        </w:rPr>
        <w:t xml:space="preserve"> </w:t>
      </w:r>
      <w:r>
        <w:rPr>
          <w:rFonts w:ascii="Times New Roman;serif" w:hAnsi="Times New Roman;serif"/>
          <w:b w:val="false"/>
          <w:color w:val="231F20"/>
          <w:sz w:val="20"/>
        </w:rPr>
        <w:t>hardware</w:t>
      </w:r>
      <w:r>
        <w:rPr>
          <w:color w:val="231F20"/>
        </w:rPr>
        <w:t xml:space="preserve"> </w:t>
      </w:r>
      <w:r>
        <w:rPr>
          <w:rFonts w:ascii="Times New Roman;serif" w:hAnsi="Times New Roman;serif"/>
          <w:b w:val="false"/>
          <w:color w:val="231F20"/>
          <w:sz w:val="20"/>
        </w:rPr>
        <w:t>platform</w:t>
      </w:r>
      <w:r>
        <w:rPr>
          <w:color w:val="231F20"/>
        </w:rPr>
        <w:t xml:space="preserve"> </w:t>
      </w:r>
      <w:r>
        <w:rPr>
          <w:rFonts w:ascii="Times New Roman;serif" w:hAnsi="Times New Roman;serif"/>
          <w:b w:val="false"/>
          <w:color w:val="231F20"/>
          <w:sz w:val="20"/>
        </w:rPr>
        <w:t>integrates</w:t>
      </w:r>
      <w:r>
        <w:rPr>
          <w:color w:val="231F20"/>
        </w:rPr>
        <w:t xml:space="preserve"> </w:t>
      </w:r>
      <w:r>
        <w:rPr>
          <w:rFonts w:ascii="Times New Roman;serif" w:hAnsi="Times New Roman;serif"/>
          <w:b w:val="false"/>
          <w:color w:val="231F20"/>
          <w:sz w:val="20"/>
        </w:rPr>
        <w:t>redundancy</w:t>
      </w:r>
      <w:r>
        <w:rPr>
          <w:color w:val="231F20"/>
        </w:rPr>
        <w:t xml:space="preserve"> </w:t>
      </w:r>
      <w:r>
        <w:rPr>
          <w:rFonts w:ascii="Times New Roman;serif" w:hAnsi="Times New Roman;serif"/>
          <w:b w:val="false"/>
          <w:color w:val="231F20"/>
          <w:sz w:val="20"/>
        </w:rPr>
        <w:t>into all safety-critical functions, including steering, braking, power and compute. This redundancy ensures the Kodiak Driver can maintain safe and reliable driverless operations, even in the event of a component failure.</w:t>
      </w:r>
    </w:p>
    <w:p>
      <w:pPr>
        <w:pStyle w:val="TextBody"/>
        <w:bidi w:val="0"/>
        <w:spacing w:lineRule="auto" w:line="288" w:before="0" w:after="120"/>
        <w:ind w:left="0" w:right="0" w:hanging="360"/>
        <w:jc w:val="left"/>
        <w:rPr/>
      </w:pPr>
      <w:r>
        <w:rPr>
          <w:rFonts w:ascii="Times New Roman;serif" w:hAnsi="Times New Roman;serif"/>
          <w:b w:val="false"/>
          <w:color w:val="231F20"/>
          <w:sz w:val="22"/>
        </w:rPr>
        <w:t>3.</w:t>
      </w:r>
      <w:r>
        <w:rPr>
          <w:rFonts w:ascii="Times New Roman;serif" w:hAnsi="Times New Roman;serif"/>
          <w:b/>
          <w:color w:val="231F20"/>
          <w:sz w:val="20"/>
        </w:rPr>
        <w:t>Physical AI</w:t>
      </w:r>
      <w:r>
        <w:rPr>
          <w:color w:val="231F20"/>
        </w:rPr>
        <w:t xml:space="preserve"> </w:t>
      </w:r>
      <w:r>
        <w:rPr>
          <w:rFonts w:ascii="Times New Roman;serif" w:hAnsi="Times New Roman;serif"/>
          <w:b/>
          <w:color w:val="231F20"/>
          <w:sz w:val="20"/>
        </w:rPr>
        <w:t>Compute</w:t>
      </w:r>
      <w:r>
        <w:rPr>
          <w:color w:val="231F20"/>
        </w:rPr>
        <w:t>—</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Kodiak</w:t>
      </w:r>
      <w:r>
        <w:rPr>
          <w:color w:val="231F20"/>
        </w:rPr>
        <w:t xml:space="preserve"> </w:t>
      </w:r>
      <w:r>
        <w:rPr>
          <w:rFonts w:ascii="Times New Roman;serif" w:hAnsi="Times New Roman;serif"/>
          <w:b w:val="false"/>
          <w:color w:val="231F20"/>
          <w:sz w:val="20"/>
        </w:rPr>
        <w:t>Driver’s physical</w:t>
      </w:r>
      <w:r>
        <w:rPr>
          <w:color w:val="231F20"/>
        </w:rPr>
        <w:t xml:space="preserve"> </w:t>
      </w:r>
      <w:r>
        <w:rPr>
          <w:rFonts w:ascii="Times New Roman;serif" w:hAnsi="Times New Roman;serif"/>
          <w:b w:val="false"/>
          <w:color w:val="231F20"/>
          <w:sz w:val="20"/>
        </w:rPr>
        <w:t>AI</w:t>
      </w:r>
      <w:r>
        <w:rPr>
          <w:color w:val="231F20"/>
        </w:rPr>
        <w:t xml:space="preserve"> </w:t>
      </w:r>
      <w:r>
        <w:rPr>
          <w:rFonts w:ascii="Times New Roman;serif" w:hAnsi="Times New Roman;serif"/>
          <w:b w:val="false"/>
          <w:color w:val="231F20"/>
          <w:sz w:val="20"/>
        </w:rPr>
        <w:t>compute</w:t>
      </w:r>
      <w:r>
        <w:rPr>
          <w:color w:val="231F20"/>
        </w:rPr>
        <w:t xml:space="preserve"> </w:t>
      </w:r>
      <w:r>
        <w:rPr>
          <w:rFonts w:ascii="Times New Roman;serif" w:hAnsi="Times New Roman;serif"/>
          <w:b w:val="false"/>
          <w:color w:val="231F20"/>
          <w:sz w:val="20"/>
        </w:rPr>
        <w:t>platform</w:t>
      </w:r>
      <w:r>
        <w:rPr>
          <w:color w:val="231F20"/>
        </w:rPr>
        <w:t xml:space="preserve"> </w:t>
      </w:r>
      <w:r>
        <w:rPr>
          <w:rFonts w:ascii="Times New Roman;serif" w:hAnsi="Times New Roman;serif"/>
          <w:b w:val="false"/>
          <w:color w:val="231F20"/>
          <w:sz w:val="20"/>
        </w:rPr>
        <w:t>includes</w:t>
      </w:r>
      <w:r>
        <w:rPr>
          <w:color w:val="231F20"/>
        </w:rPr>
        <w:t xml:space="preserve"> </w:t>
      </w:r>
      <w:r>
        <w:rPr>
          <w:rFonts w:ascii="Times New Roman;serif" w:hAnsi="Times New Roman;serif"/>
          <w:b w:val="false"/>
          <w:color w:val="231F20"/>
          <w:sz w:val="20"/>
        </w:rPr>
        <w:t>GPUs</w:t>
      </w:r>
      <w:r>
        <w:rPr>
          <w:color w:val="231F20"/>
        </w:rPr>
        <w:t xml:space="preserve"> </w:t>
      </w:r>
      <w:r>
        <w:rPr>
          <w:rFonts w:ascii="Times New Roman;serif" w:hAnsi="Times New Roman;serif"/>
          <w:b w:val="false"/>
          <w:color w:val="231F20"/>
          <w:sz w:val="20"/>
        </w:rPr>
        <w:t>optimized</w:t>
      </w:r>
      <w:r>
        <w:rPr>
          <w:color w:val="231F20"/>
        </w:rPr>
        <w:t xml:space="preserve"> </w:t>
      </w:r>
      <w:r>
        <w:rPr>
          <w:rFonts w:ascii="Times New Roman;serif" w:hAnsi="Times New Roman;serif"/>
          <w:b w:val="false"/>
          <w:color w:val="231F20"/>
          <w:sz w:val="20"/>
        </w:rPr>
        <w:t>for</w:t>
      </w:r>
      <w:r>
        <w:rPr>
          <w:color w:val="231F20"/>
        </w:rPr>
        <w:t xml:space="preserve"> </w:t>
      </w:r>
      <w:r>
        <w:rPr>
          <w:rFonts w:ascii="Times New Roman;serif" w:hAnsi="Times New Roman;serif"/>
          <w:b w:val="false"/>
          <w:color w:val="231F20"/>
          <w:sz w:val="20"/>
        </w:rPr>
        <w:t>automotive applications and a hardened, military-spec compute designed to withstand the harsh environments where the Kodiak Driver operates. The compute platform also includes automotive processors and in-vehicle networking interfaces developed by NXP Semiconductors, which enable critical functions such as vehicle performance monitoring and on-vehicle power management.</w:t>
      </w:r>
    </w:p>
    <w:p>
      <w:pPr>
        <w:pStyle w:val="TextBody"/>
        <w:bidi w:val="0"/>
        <w:spacing w:lineRule="auto" w:line="288" w:before="0" w:after="240"/>
        <w:ind w:left="0" w:right="0" w:hanging="360"/>
        <w:jc w:val="left"/>
        <w:rPr/>
      </w:pPr>
      <w:r>
        <w:rPr>
          <w:rFonts w:ascii="Times New Roman;serif" w:hAnsi="Times New Roman;serif"/>
          <w:b w:val="false"/>
          <w:color w:val="231F20"/>
          <w:sz w:val="22"/>
        </w:rPr>
        <w:t>4.</w:t>
      </w:r>
      <w:r>
        <w:rPr>
          <w:rFonts w:ascii="Times New Roman;serif" w:hAnsi="Times New Roman;serif"/>
          <w:b/>
          <w:color w:val="231F20"/>
          <w:sz w:val="20"/>
        </w:rPr>
        <w:t>Actuation Control Engine (“ACE”)</w:t>
      </w:r>
      <w:r>
        <w:rPr>
          <w:color w:val="231F20"/>
        </w:rPr>
        <w:t>—</w:t>
      </w:r>
      <w:r>
        <w:rPr>
          <w:rFonts w:ascii="Times New Roman;serif" w:hAnsi="Times New Roman;serif"/>
          <w:b w:val="false"/>
          <w:color w:val="231F20"/>
          <w:sz w:val="20"/>
        </w:rPr>
        <w:t>At the core of our safety architecture is the ACE, a custom-designed computer that manages vehicle actuation independently from the main autonomy system. If any</w:t>
      </w:r>
      <w:r>
        <w:rPr>
          <w:color w:val="231F20"/>
        </w:rPr>
        <w:t xml:space="preserve"> </w:t>
      </w:r>
      <w:r>
        <w:rPr>
          <w:rFonts w:ascii="Times New Roman;serif" w:hAnsi="Times New Roman;serif"/>
          <w:b w:val="false"/>
          <w:color w:val="231F20"/>
          <w:sz w:val="20"/>
        </w:rPr>
        <w:t>safety-critical component</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either</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Kodiak</w:t>
      </w:r>
      <w:r>
        <w:rPr>
          <w:color w:val="231F20"/>
        </w:rPr>
        <w:t xml:space="preserve"> </w:t>
      </w:r>
      <w:r>
        <w:rPr>
          <w:rFonts w:ascii="Times New Roman;serif" w:hAnsi="Times New Roman;serif"/>
          <w:b w:val="false"/>
          <w:color w:val="231F20"/>
          <w:sz w:val="20"/>
        </w:rPr>
        <w:t>Driver</w:t>
      </w:r>
      <w:r>
        <w:rPr>
          <w:color w:val="231F20"/>
        </w:rPr>
        <w:t xml:space="preserve"> </w:t>
      </w:r>
      <w:r>
        <w:rPr>
          <w:rFonts w:ascii="Times New Roman;serif" w:hAnsi="Times New Roman;serif"/>
          <w:b w:val="false"/>
          <w:color w:val="231F20"/>
          <w:sz w:val="20"/>
        </w:rPr>
        <w:t>or</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underlying</w:t>
      </w:r>
      <w:r>
        <w:rPr>
          <w:color w:val="231F20"/>
        </w:rPr>
        <w:t xml:space="preserve"> </w:t>
      </w:r>
      <w:r>
        <w:rPr>
          <w:rFonts w:ascii="Times New Roman;serif" w:hAnsi="Times New Roman;serif"/>
          <w:b w:val="false"/>
          <w:color w:val="231F20"/>
          <w:sz w:val="20"/>
        </w:rPr>
        <w:t>vehicle</w:t>
      </w:r>
      <w:r>
        <w:rPr>
          <w:color w:val="231F20"/>
        </w:rPr>
        <w:t xml:space="preserve"> </w:t>
      </w:r>
      <w:r>
        <w:rPr>
          <w:rFonts w:ascii="Times New Roman;serif" w:hAnsi="Times New Roman;serif"/>
          <w:b w:val="false"/>
          <w:color w:val="231F20"/>
          <w:sz w:val="20"/>
        </w:rPr>
        <w:t>platform</w:t>
      </w:r>
      <w:r>
        <w:rPr>
          <w:color w:val="231F20"/>
        </w:rPr>
        <w:t xml:space="preserve"> </w:t>
      </w:r>
      <w:r>
        <w:rPr>
          <w:rFonts w:ascii="Times New Roman;serif" w:hAnsi="Times New Roman;serif"/>
          <w:b w:val="false"/>
          <w:color w:val="231F20"/>
          <w:sz w:val="20"/>
        </w:rPr>
        <w:t>fails,</w:t>
      </w:r>
      <w:r>
        <w:rPr>
          <w:color w:val="231F20"/>
        </w:rPr>
        <w:t xml:space="preserve"> </w:t>
      </w:r>
      <w:r>
        <w:rPr>
          <w:rFonts w:ascii="Times New Roman;serif" w:hAnsi="Times New Roman;serif"/>
          <w:b w:val="false"/>
          <w:color w:val="231F20"/>
          <w:sz w:val="20"/>
        </w:rPr>
        <w:t>the ACE steps in to execute a safe fallback maneuver and bring the vehicle to a controlled stop.</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Commercialization Strategy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Kodiak’s commercialization strategy has always been focused on meeting our customers’ needs. With a large truck driver shortage, an aging workforce and high turnover rates, our customers have consistently told us that they need a flexible DaaS solution. The DaaS solution is expected to help them supplement their existing workforce, grow their fleet and increase their asset utilization. With customer needs in mind, we first implemented with Atlas in December 2024, and expect to grow, our DaaS revenue model by licensing our solution to long-haul trucking, industrial trucking, and defense customers. We offer different license fee structures to align with our customers’ preferred driver cost approach, such as per-mile or per-vehicle. This flexibility is critical in providing our customers with a solution that works for them.</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This flexible and customer-centric business model is matched by the versatility of the Kodiak Driver to meet the operational needs of our customers. The Kodiak Driver’s underlying common technology platform and independence from HD maps is expected to enable commercialization across different use cases, including long-haul trucking, industrial trucking, and off-road defense applications.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4"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initial commercial launch of our recurring revenue-generating driverless trucking solution in December 2024 focused on the industrial trucking sector. The 24/7 nature of oil and gas wells, the acute driver shortage and safety risks in the Permian Basin, and the remoteness of the environment made the oil and gas logistics market ripe for automation. Next, we plan to commercialize our technology in the long-haul trucking sector. We have built an extensive autonomous freight network of approximately 24,000 miles that runs across the southern United States. Following the expansion of our safety case to cover the long-haul operating domain, we plan to launch our long-haul driverless deployment initially in Texas. We believe Texas is an attractive launch market because it is one of the largest freight markets in the United States, and has a generally favorable business and regulatory environment, along with a relatively moderate climate.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our long-haul operations, we are currently operating revenue-generating commercial operations with Kodiak-owned autonomous trucks. Since 2019, we have hauled commercial freight for our extensive customer base and, we currently offer regular service between our Dallas hub and Houston, Oklahoma City and Atlanta and recently expanded our service offering to El Paso. We have also previously operated consistent service between Dallas and San Antonio, and piloted deliveries between California and Florida.</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partner with commercial upfitters to integrate the Kodiak Driver hardware into commercially available trucks. This includes our partnership with Roush Industries, Inc. (“Roush”), a leading product development supplier serving the mobility, aerospace and defense industries. We believe this upfit-first strategy is the best approach for the current state of the market, which does not yet offer driverless-ready trucks directly from OEMs at scale. Partnering with Roush also gives us strategic flexibility to make continuous incremental improvements to the Kodiak Driver hardware as new technologies and techniques become available. In the long run, we believe integrating our technology into truck OEM manufacturing processes will help us achieve additional economies of scale, further reduce the cost of our system and enable significant scale of production.</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believe our customer-centric approach is a key differentiator. Rather than offering a one-size-fits-all approach, we closely collaborate with our customers through our Partner Deployment Program (“PDP”). We have refined our PDP over several years to ensure the ease of integration of the Kodiak Driver into our customers’ operations. This structured program begins with: (i) assessing the customer’s freight network to identify optimal deployment opportunities; (ii) designing end-to-end solutions that address customer needs; and (iii) defining operational workflows, including maintenance services and system integrations. This enables us to prove the viability of our technology and our commitment to customer success by hauling customer freight with Kodiak-owned autonomous trucks. As we scale our DaaS model beyond the industrial domain, we expect Kodiak-owned autonomous trucks deployed on behalf of our customers will be replaced by customer-owned trucks powered by the Kodiak Driver.</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believe our main competitors are other AV technology developers, particularly those who focus on long-haul trucking, industrial trucking and defense.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principal competitive success factors in AVs for long-haul trucking, industrial trucking and defense, include:</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market reputation;</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safety and reliability;</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technology quality;</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team quality;</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go-to-market approach;</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commercial traction;</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capital efficiency; and</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intellectual property portfolio.</w:t>
      </w:r>
    </w:p>
    <w:p>
      <w:pPr>
        <w:pStyle w:val="TextBody"/>
        <w:bidi w:val="0"/>
        <w:spacing w:before="0" w:after="0"/>
        <w:jc w:val="left"/>
        <w:rPr/>
      </w:pPr>
      <w:r>
        <w:rPr/>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believe we compare favorably to our competitors on most, if not all, of these categories, due to our demonstrated commercial traction, differentiated technology, strong safety culture and experienced team.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5"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Our Growth Strategy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plan to continue to build on our position as a leading AV technology provider through further commercialization and scaling of our commercial deployments and the continued development of the Kodiak Driver.</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Domestic Expansion</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Since our inception, we have focused on building a solution that solves customer pain points and easily integrates into our customers’ existing networks. We launched our driverless solution in the Permian Basin in West Texas and Eastern New Mexico with Atlas in December 2024 and expect our deployment with them to scale in 2026 and beyond. In addition, we plan to launch driverless highway operations by the end of 2026 in the southern United States, following the completion of key systems and safety engineering work required to validate the expansion of our safety case to encompass long-haul operations. Once we complete our long-haul safety case, we will then aim to strategically grow our geographic footprint to freight lanes across the country. We expect to expand nationwide over the course of the decade to meet the demands of our customers and as we validate our technology in additional operating environments.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also see opportunities in the defense sector, particularly given the Pentagon’s increasing preference for commercial off-the-shelf technologies, rather than home-grown or defense-specific solutions. The Pentagon has stated that it views autonomous technologies as a priority area for investment, particularly as a means of maintaining combat superiority against adversaries that can field greater manpower.</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International Expansion</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While we are focusing our commercial operations in the United States in the near term, we expect to expand to key international markets that share certain similarities with the United States such as labor shortages, supportive regulatory environments and comparable roadway environments. We expect these jurisdictions may initially include Australia, the Middle East, Canada and Europe, subject to ongoing customer and prospective customer discussions, market analysis and trade policy considerations. Additionally, we see defense sector opportunities with allied militaries in Europe, given instability in the region.</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success and competitive advantage depend in part upon our ability to develop and protect our core technology and intellectual property. We own a portfolio of intellectual property, including patents and patent applications, trademarks, domain registrations, confidential technical information including trade secrets, technical data, curated data sets and expertise in the development of software and hardware for AVs.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have filed applications and paid certain fees to register and maintain our patents and trademarks, to secure and protect our intellectual rights and defend against third parties who may infringe on our intellectual property rights. We also rely on trade secrets to protect our AI model architecture, design and manufacturing know-how and individual model structures and model parameters that have been developed within our proprietary perception, mapping, planning and control systems with curated data structures. Additionally, we take commercially reasonable steps designed to secure and protect our intellectual property rights, including through agreements with our commercial partners, supply-chain vendors, employees and consultants, and by maintaining our software in an access-controlled proprietary cloud environment.</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of December 31, 2025, we own over 150 patents and pending patent applications, including filings in U.S. and foreign jurisdictions. In addition, we have two registered U.S. trademarks and one registered foreign trademark. Our patents and patent applications cover a broad range of technologies relevant to self-driving vehicles across different operating domains, including long-haul trucking, industrial and defense related domains.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Regulatory Landscape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There is currently no comprehensive federal regulatory framework governing the deployment of driverless trucks. We are able to operate our driverless trucking business today as regulators continue to work towards developing regulatory frameworks specifically for AV deployment.</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At the state level, the regulatory landscape continues to evolve. As of December 31, 2025, 24 states have enacted legislation explicitly permitting the deployment of driverless trucks. Critical freight corridors, including the I-10 and I-20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6"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corridors stretching from Arizona to Georgia and Florida, are located in states with supportive legal frameworks in place. This has enabled us to pursue and expand our operations across key commercial routes critical to long-haul trucking. While California currently does not allow for AV truck deployment, in April 2025, the state launched a rulemaking process that we expect to lead to regulations allowing for driverless truck deployment in the near term.</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While these state laws differ, they generally allow for driverless deployment, so long as vehicles are able to follow the rules of the road and are able to achieve minimal risk conditions. Differences in requirements, such as first responder interaction protocols and insurance standards, create compliance complexities.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At the federal level, the United States Department of Transportation (“USDOT”), through both the National Highway Traffic Safety Administration (“NHTSA”) and the Federal Motor Carrier Safety Administration (“FMCSA”), continues to study and issue guidance related to autonomous vehicles. Both agencies have devoted considerable resources to understanding how automation will change roadway operations and safety. Secretary of Transportation Sean Duffy has pledged to create a federal framework for AV deployment, and in April 2025, the USDOT released the first installment of that framework. Additionally, in October 2025, USDOT issued a waiver that allows AV truck operators to use flashing warning beacons as a replacement for reflective warning triangles, providing a solution to a core regulatory challenge facing AV trucking.</w:t>
      </w:r>
    </w:p>
    <w:p>
      <w:pPr>
        <w:pStyle w:val="TextBody"/>
        <w:bidi w:val="0"/>
        <w:spacing w:lineRule="auto" w:line="288" w:before="0" w:after="240"/>
        <w:ind w:left="0" w:right="0" w:firstLine="490"/>
        <w:jc w:val="left"/>
        <w:rPr/>
      </w:pPr>
      <w:r>
        <w:rPr>
          <w:rFonts w:ascii="Times New Roman;serif" w:hAnsi="Times New Roman;serif"/>
          <w:b w:val="false"/>
          <w:color w:val="000000"/>
          <w:sz w:val="20"/>
        </w:rPr>
        <w:t xml:space="preserve">Current federal AV regulations largely rely on existing authorities. This includes 2018’s AV 3.0 guidance, which specifically states that “Going forward FMCSA regulations will no longer assume that the commercial motor vehicle driver is always a human or that a human is necessarily present onboard a commercial vehicle during its operation.” Further, in July 2021, NHTSA issued Standing General Order 2021-01 (“SGO”), which requires AV companies to report any crash that “results or allegedly results in any property damage, injury, or fatality.” This SGO has been amended twice in the ensuing years, most recently in April 2025. NHTSA both posts this data on a publicly available portal and uses it to identify potential safety defects that may necessitate a recall under </w:t>
      </w:r>
      <w:r>
        <w:rPr>
          <w:rFonts w:ascii="Times New Roman;serif" w:hAnsi="Times New Roman;serif"/>
          <w:b w:val="false"/>
          <w:color w:val="231F20"/>
          <w:sz w:val="20"/>
        </w:rPr>
        <w:t>the National Traffic and Motor Vehicle Safety Act of 1966 (the “Vehicle Safety Act”)</w:t>
      </w:r>
      <w:r>
        <w:rPr>
          <w:rFonts w:ascii="Times New Roman;serif" w:hAnsi="Times New Roman;serif"/>
          <w:b w:val="false"/>
          <w:color w:val="000000"/>
          <w:sz w:val="20"/>
        </w:rPr>
        <w:t>.</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the United States, manufacturers must self-certify that their vehicles comply with the FMVSSs, promulgated by NHTSA. Companies such as Kodiak self-certify continued compliance with the FMVSSs, while NHTSA retains authority to oversee safety through its defect and recall powers. Further, we and our customers must comply with FMCSRs regarding the safe operation of commercial vehicles.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play a central role in educational and advocacy efforts related to AV deployment. We belong to numerous industry associations and trade groups, including the Autonomous Vehicle Industry Association, the ATA, Partners for AV Education, the Consumer Technology Association, the Permian Road Safety Coalition, the Commercial Vehicle Safety Alliance and more. At a state and local level, we belong to over a half dozen state trucking associations and engage closely with state and local regulators to educate them about the opportunity for AV trucking to improve safety and grow the economy. We co-chair the Freight Subcommittee of the Texas Connected and Autonomous Vehicle Task Force and have twice testified before the Texas House Transportation Committee. We will continue to work closely with federal and state policymakers to strengthen an already robust regulatory picture and deploy our technology.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the regulatory environment continues to advance, our business may need to evolve accordingly. For example, additional state-level requirements or new federal standards could require operational or technical adjustments. We proactively engage with policymakers and regulators to help ensure the regulatory frameworks support safe and scalable autonomous deployment. We are hopeful that, in the near future, USDOT will issue additional regulations that will create further regulatory certainty for the AV industry and the U.S. Congress will pass a federal legislative framework for AVs.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Corporate Social Responsibilities and Sustainability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Safety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have a deep commitment to making driving safer. Delivering on this commitment is central to how we aim to make a positive contribution to our communities and our country. Safety is the foundation of everything we do at Kodiak. It is a responsibility that we take seriously and has been a key focus of Kodiak since day one. We also firmly believe that safety requires a team approach, and we have worked closely with federal and state regulators, law enforcement and our industry partners to ensure that our vehicles are fundamentally safe. This commitment is also paramount in our defense business, where we are helping to remove service members from harm’s way in some of the most dangerous jobs in the U.S. military.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7"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Sustainability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believe that autonomous trucks will help improve fuel efficiency, through less idling, more efficient routing, fewer non-revenue producing miles and more efficient driving. We believe these improvements will facilitate reduced customer emissions, while lowering operating costs for our customers.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Culture</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Kodiak’s team members are the collective force that drive innovation and organizational excellence. Kodiak has established a clear purpose that employees, partners and customers identify with and are passionate about.</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This fosters a collaborative environment that we believe delivers personal and professional satisfaction. By focusing on employee engagement, collaboration, accountability and overall fulfillment, Kodiak is able to attract and retain top talent, which we believe creates a high-performance culture. This in turn allows us to leverage the talent and knowledge of our workforce, contributing to our overall momentum and success.</w:t>
      </w:r>
    </w:p>
    <w:p>
      <w:pPr>
        <w:pStyle w:val="TextBody"/>
        <w:bidi w:val="0"/>
        <w:spacing w:lineRule="auto" w:line="268" w:before="0" w:after="120"/>
        <w:jc w:val="left"/>
        <w:rPr>
          <w:rFonts w:ascii="Times New Roman;serif" w:hAnsi="Times New Roman;serif"/>
          <w:b w:val="false"/>
          <w:color w:val="000000"/>
          <w:sz w:val="20"/>
        </w:rPr>
      </w:pPr>
      <w:r>
        <w:rPr>
          <w:rFonts w:ascii="Times New Roman;serif" w:hAnsi="Times New Roman;serif"/>
          <w:b w:val="false"/>
          <w:color w:val="000000"/>
          <w:sz w:val="20"/>
        </w:rPr>
        <w:t>We’re strongly driven by our company values: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231F20"/>
          <w:sz w:val="20"/>
        </w:rPr>
        <w:t>Safety</w:t>
      </w:r>
      <w:r>
        <w:rPr>
          <w:color w:val="231F20"/>
        </w:rPr>
        <w:t>—</w:t>
      </w:r>
      <w:r>
        <w:rPr>
          <w:rFonts w:ascii="Times New Roman;serif" w:hAnsi="Times New Roman;serif"/>
          <w:b w:val="false"/>
          <w:color w:val="231F20"/>
          <w:sz w:val="20"/>
        </w:rPr>
        <w:t>Safety</w:t>
      </w:r>
      <w:r>
        <w:rPr>
          <w:color w:val="231F20"/>
        </w:rPr>
        <w:t xml:space="preserve"> </w:t>
      </w:r>
      <w:r>
        <w:rPr>
          <w:rFonts w:ascii="Times New Roman;serif" w:hAnsi="Times New Roman;serif"/>
          <w:b w:val="false"/>
          <w:color w:val="231F20"/>
          <w:sz w:val="20"/>
        </w:rPr>
        <w:t>first</w:t>
      </w:r>
      <w:r>
        <w:rPr>
          <w:color w:val="231F20"/>
        </w:rPr>
        <w:t xml:space="preserve"> </w:t>
      </w:r>
      <w:r>
        <w:rPr>
          <w:rFonts w:ascii="Times New Roman;serif" w:hAnsi="Times New Roman;serif"/>
          <w:b w:val="false"/>
          <w:color w:val="231F20"/>
          <w:sz w:val="20"/>
        </w:rPr>
        <w:t>and always. Reinforce</w:t>
      </w:r>
      <w:r>
        <w:rPr>
          <w:color w:val="231F20"/>
        </w:rPr>
        <w:t xml:space="preserve"> </w:t>
      </w:r>
      <w:r>
        <w:rPr>
          <w:rFonts w:ascii="Times New Roman;serif" w:hAnsi="Times New Roman;serif"/>
          <w:b w:val="false"/>
          <w:color w:val="231F20"/>
          <w:sz w:val="20"/>
        </w:rPr>
        <w:t>safe choices as a community.</w:t>
      </w:r>
      <w:r>
        <w:rPr>
          <w:color w:val="231F20"/>
        </w:rPr>
        <w:t xml:space="preserve"> </w:t>
      </w:r>
      <w:r>
        <w:rPr>
          <w:rFonts w:ascii="Times New Roman;serif" w:hAnsi="Times New Roman;serif"/>
          <w:b w:val="false"/>
          <w:color w:val="231F20"/>
          <w:sz w:val="20"/>
        </w:rPr>
        <w:t>Behave</w:t>
      </w:r>
      <w:r>
        <w:rPr>
          <w:color w:val="231F20"/>
        </w:rPr>
        <w:t xml:space="preserve"> </w:t>
      </w:r>
      <w:r>
        <w:rPr>
          <w:rFonts w:ascii="Times New Roman;serif" w:hAnsi="Times New Roman;serif"/>
          <w:b w:val="false"/>
          <w:color w:val="231F20"/>
          <w:sz w:val="20"/>
        </w:rPr>
        <w:t>responsibly</w:t>
      </w:r>
      <w:r>
        <w:rPr>
          <w:rFonts w:ascii="Times New Roman;serif" w:hAnsi="Times New Roman;serif"/>
          <w:b w:val="false"/>
          <w:color w:val="231F20"/>
          <w:sz w:val="24"/>
        </w:rPr>
        <w: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231F20"/>
          <w:sz w:val="20"/>
        </w:rPr>
        <w:t>Integrity</w:t>
      </w:r>
      <w:r>
        <w:rPr>
          <w:color w:val="231F20"/>
        </w:rPr>
        <w:t>—</w:t>
      </w:r>
      <w:r>
        <w:rPr>
          <w:rFonts w:ascii="Times New Roman;serif" w:hAnsi="Times New Roman;serif"/>
          <w:b w:val="false"/>
          <w:color w:val="231F20"/>
          <w:sz w:val="20"/>
        </w:rPr>
        <w:t>Seek</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truth,</w:t>
      </w:r>
      <w:r>
        <w:rPr>
          <w:color w:val="231F20"/>
        </w:rPr>
        <w:t xml:space="preserve"> </w:t>
      </w:r>
      <w:r>
        <w:rPr>
          <w:rFonts w:ascii="Times New Roman;serif" w:hAnsi="Times New Roman;serif"/>
          <w:b w:val="false"/>
          <w:color w:val="231F20"/>
          <w:sz w:val="20"/>
        </w:rPr>
        <w:t>especially</w:t>
      </w:r>
      <w:r>
        <w:rPr>
          <w:color w:val="231F20"/>
        </w:rPr>
        <w:t xml:space="preserve"> </w:t>
      </w:r>
      <w:r>
        <w:rPr>
          <w:rFonts w:ascii="Times New Roman;serif" w:hAnsi="Times New Roman;serif"/>
          <w:b w:val="false"/>
          <w:color w:val="231F20"/>
          <w:sz w:val="20"/>
        </w:rPr>
        <w:t>when</w:t>
      </w:r>
      <w:r>
        <w:rPr>
          <w:color w:val="231F20"/>
        </w:rPr>
        <w:t xml:space="preserve"> </w:t>
      </w:r>
      <w:r>
        <w:rPr>
          <w:rFonts w:ascii="Times New Roman;serif" w:hAnsi="Times New Roman;serif"/>
          <w:b w:val="false"/>
          <w:color w:val="231F20"/>
          <w:sz w:val="20"/>
        </w:rPr>
        <w:t>it’s</w:t>
      </w:r>
      <w:r>
        <w:rPr>
          <w:color w:val="231F20"/>
        </w:rPr>
        <w:t xml:space="preserve"> </w:t>
      </w:r>
      <w:r>
        <w:rPr>
          <w:rFonts w:ascii="Times New Roman;serif" w:hAnsi="Times New Roman;serif"/>
          <w:b w:val="false"/>
          <w:color w:val="231F20"/>
          <w:sz w:val="20"/>
        </w:rPr>
        <w:t>inconvenient.</w:t>
      </w:r>
      <w:r>
        <w:rPr>
          <w:color w:val="231F20"/>
        </w:rPr>
        <w:t xml:space="preserve"> </w:t>
      </w:r>
      <w:r>
        <w:rPr>
          <w:rFonts w:ascii="Times New Roman;serif" w:hAnsi="Times New Roman;serif"/>
          <w:b w:val="false"/>
          <w:color w:val="231F20"/>
          <w:sz w:val="20"/>
        </w:rPr>
        <w:t>Speak</w:t>
      </w:r>
      <w:r>
        <w:rPr>
          <w:color w:val="231F20"/>
        </w:rPr>
        <w:t xml:space="preserve"> </w:t>
      </w:r>
      <w:r>
        <w:rPr>
          <w:rFonts w:ascii="Times New Roman;serif" w:hAnsi="Times New Roman;serif"/>
          <w:b w:val="false"/>
          <w:color w:val="231F20"/>
          <w:sz w:val="20"/>
        </w:rPr>
        <w:t>with</w:t>
      </w:r>
      <w:r>
        <w:rPr>
          <w:color w:val="231F20"/>
        </w:rPr>
        <w:t xml:space="preserve"> </w:t>
      </w:r>
      <w:r>
        <w:rPr>
          <w:rFonts w:ascii="Times New Roman;serif" w:hAnsi="Times New Roman;serif"/>
          <w:b w:val="false"/>
          <w:color w:val="231F20"/>
          <w:sz w:val="20"/>
        </w:rPr>
        <w:t>passion,</w:t>
      </w:r>
      <w:r>
        <w:rPr>
          <w:color w:val="231F20"/>
        </w:rPr>
        <w:t xml:space="preserve"> </w:t>
      </w:r>
      <w:r>
        <w:rPr>
          <w:rFonts w:ascii="Times New Roman;serif" w:hAnsi="Times New Roman;serif"/>
          <w:b w:val="false"/>
          <w:color w:val="231F20"/>
          <w:sz w:val="20"/>
        </w:rPr>
        <w:t>but</w:t>
      </w:r>
      <w:r>
        <w:rPr>
          <w:color w:val="231F20"/>
        </w:rPr>
        <w:t xml:space="preserve"> </w:t>
      </w:r>
      <w:r>
        <w:rPr>
          <w:rFonts w:ascii="Times New Roman;serif" w:hAnsi="Times New Roman;serif"/>
          <w:b w:val="false"/>
          <w:color w:val="231F20"/>
          <w:sz w:val="20"/>
        </w:rPr>
        <w:t>respect</w:t>
      </w:r>
      <w:r>
        <w:rPr>
          <w:color w:val="231F20"/>
        </w:rPr>
        <w:t xml:space="preserve"> </w:t>
      </w:r>
      <w:r>
        <w:rPr>
          <w:rFonts w:ascii="Times New Roman;serif" w:hAnsi="Times New Roman;serif"/>
          <w:b w:val="false"/>
          <w:color w:val="231F20"/>
          <w:sz w:val="20"/>
        </w:rPr>
        <w:t>diverse points of view to move towards execution.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231F20"/>
          <w:sz w:val="20"/>
        </w:rPr>
        <w:t>Innovation</w:t>
      </w:r>
      <w:r>
        <w:rPr>
          <w:color w:val="231F20"/>
        </w:rPr>
        <w:t>—</w:t>
      </w:r>
      <w:r>
        <w:rPr>
          <w:rFonts w:ascii="Times New Roman;serif" w:hAnsi="Times New Roman;serif"/>
          <w:b w:val="false"/>
          <w:color w:val="231F20"/>
          <w:sz w:val="20"/>
        </w:rPr>
        <w:t>Focus,</w:t>
      </w:r>
      <w:r>
        <w:rPr>
          <w:color w:val="231F20"/>
        </w:rPr>
        <w:t xml:space="preserve"> </w:t>
      </w:r>
      <w:r>
        <w:rPr>
          <w:rFonts w:ascii="Times New Roman;serif" w:hAnsi="Times New Roman;serif"/>
          <w:b w:val="false"/>
          <w:color w:val="231F20"/>
          <w:sz w:val="20"/>
        </w:rPr>
        <w:t>efficiency</w:t>
      </w:r>
      <w:r>
        <w:rPr>
          <w:color w:val="231F20"/>
        </w:rPr>
        <w:t xml:space="preserve"> </w:t>
      </w:r>
      <w:r>
        <w:rPr>
          <w:rFonts w:ascii="Times New Roman;serif" w:hAnsi="Times New Roman;serif"/>
          <w:b w:val="false"/>
          <w:color w:val="231F20"/>
          <w:sz w:val="20"/>
        </w:rPr>
        <w:t>and</w:t>
      </w:r>
      <w:r>
        <w:rPr>
          <w:color w:val="231F20"/>
        </w:rPr>
        <w:t xml:space="preserve"> </w:t>
      </w:r>
      <w:r>
        <w:rPr>
          <w:rFonts w:ascii="Times New Roman;serif" w:hAnsi="Times New Roman;serif"/>
          <w:b w:val="false"/>
          <w:color w:val="231F20"/>
          <w:sz w:val="20"/>
        </w:rPr>
        <w:t>elegance.</w:t>
      </w:r>
      <w:r>
        <w:rPr>
          <w:color w:val="231F20"/>
        </w:rPr>
        <w:t xml:space="preserve"> </w:t>
      </w:r>
      <w:r>
        <w:rPr>
          <w:rFonts w:ascii="Times New Roman;serif" w:hAnsi="Times New Roman;serif"/>
          <w:b w:val="false"/>
          <w:color w:val="231F20"/>
          <w:sz w:val="20"/>
        </w:rPr>
        <w:t>Learn</w:t>
      </w:r>
      <w:r>
        <w:rPr>
          <w:color w:val="231F20"/>
        </w:rPr>
        <w:t xml:space="preserve"> </w:t>
      </w:r>
      <w:r>
        <w:rPr>
          <w:rFonts w:ascii="Times New Roman;serif" w:hAnsi="Times New Roman;serif"/>
          <w:b w:val="false"/>
          <w:color w:val="231F20"/>
          <w:sz w:val="20"/>
        </w:rPr>
        <w:t>from</w:t>
      </w:r>
      <w:r>
        <w:rPr>
          <w:color w:val="231F20"/>
        </w:rPr>
        <w:t xml:space="preserve"> </w:t>
      </w:r>
      <w:r>
        <w:rPr>
          <w:rFonts w:ascii="Times New Roman;serif" w:hAnsi="Times New Roman;serif"/>
          <w:b w:val="false"/>
          <w:color w:val="231F20"/>
          <w:sz w:val="20"/>
        </w:rPr>
        <w:t>experience.</w:t>
      </w:r>
      <w:r>
        <w:rPr>
          <w:color w:val="231F20"/>
        </w:rPr>
        <w:t xml:space="preserve"> </w:t>
      </w:r>
      <w:r>
        <w:rPr>
          <w:rFonts w:ascii="Times New Roman;serif" w:hAnsi="Times New Roman;serif"/>
          <w:b w:val="false"/>
          <w:color w:val="231F20"/>
          <w:sz w:val="20"/>
        </w:rPr>
        <w:t>Implement</w:t>
      </w:r>
      <w:r>
        <w:rPr>
          <w:color w:val="231F20"/>
        </w:rPr>
        <w:t xml:space="preserve"> </w:t>
      </w:r>
      <w:r>
        <w:rPr>
          <w:rFonts w:ascii="Times New Roman;serif" w:hAnsi="Times New Roman;serif"/>
          <w:b w:val="false"/>
          <w:color w:val="231F20"/>
          <w:sz w:val="20"/>
        </w:rPr>
        <w:t>breakthrough solutions to solve meaningful problems.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231F20"/>
          <w:sz w:val="20"/>
        </w:rPr>
        <w:t>Teamwork</w:t>
      </w:r>
      <w:r>
        <w:rPr>
          <w:color w:val="231F20"/>
        </w:rPr>
        <w:t>—</w:t>
      </w:r>
      <w:r>
        <w:rPr>
          <w:rFonts w:ascii="Times New Roman;serif" w:hAnsi="Times New Roman;serif"/>
          <w:b w:val="false"/>
          <w:color w:val="231F20"/>
          <w:sz w:val="20"/>
        </w:rPr>
        <w:t>Seek</w:t>
      </w:r>
      <w:r>
        <w:rPr>
          <w:color w:val="231F20"/>
        </w:rPr>
        <w:t xml:space="preserve"> </w:t>
      </w:r>
      <w:r>
        <w:rPr>
          <w:rFonts w:ascii="Times New Roman;serif" w:hAnsi="Times New Roman;serif"/>
          <w:b w:val="false"/>
          <w:color w:val="231F20"/>
          <w:sz w:val="20"/>
        </w:rPr>
        <w:t>out</w:t>
      </w:r>
      <w:r>
        <w:rPr>
          <w:color w:val="231F20"/>
        </w:rPr>
        <w:t xml:space="preserve"> </w:t>
      </w:r>
      <w:r>
        <w:rPr>
          <w:rFonts w:ascii="Times New Roman;serif" w:hAnsi="Times New Roman;serif"/>
          <w:b w:val="false"/>
          <w:color w:val="231F20"/>
          <w:sz w:val="20"/>
        </w:rPr>
        <w:t>best-in-class</w:t>
      </w:r>
      <w:r>
        <w:rPr>
          <w:color w:val="231F20"/>
        </w:rPr>
        <w:t xml:space="preserve"> </w:t>
      </w:r>
      <w:r>
        <w:rPr>
          <w:rFonts w:ascii="Times New Roman;serif" w:hAnsi="Times New Roman;serif"/>
          <w:b w:val="false"/>
          <w:color w:val="231F20"/>
          <w:sz w:val="20"/>
        </w:rPr>
        <w:t>collaborators.</w:t>
      </w:r>
      <w:r>
        <w:rPr>
          <w:color w:val="231F20"/>
        </w:rPr>
        <w:t xml:space="preserve"> </w:t>
      </w:r>
      <w:r>
        <w:rPr>
          <w:rFonts w:ascii="Times New Roman;serif" w:hAnsi="Times New Roman;serif"/>
          <w:b w:val="false"/>
          <w:color w:val="231F20"/>
          <w:sz w:val="20"/>
        </w:rPr>
        <w:t>Embrace</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strength</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different</w:t>
      </w:r>
      <w:r>
        <w:rPr>
          <w:color w:val="231F20"/>
        </w:rPr>
        <w:t xml:space="preserve"> </w:t>
      </w:r>
      <w:r>
        <w:rPr>
          <w:rFonts w:ascii="Times New Roman;serif" w:hAnsi="Times New Roman;serif"/>
          <w:b w:val="false"/>
          <w:color w:val="231F20"/>
          <w:sz w:val="20"/>
        </w:rPr>
        <w:t>perspectives-across teammates, customers and the motoring public.</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231F20"/>
          <w:sz w:val="20"/>
        </w:rPr>
        <w:t>Trust</w:t>
      </w:r>
      <w:r>
        <w:rPr>
          <w:color w:val="231F20"/>
        </w:rPr>
        <w:t xml:space="preserve"> </w:t>
      </w:r>
      <w:r>
        <w:rPr>
          <w:rFonts w:ascii="Times New Roman;serif" w:hAnsi="Times New Roman;serif"/>
          <w:b w:val="false"/>
          <w:i/>
          <w:color w:val="231F20"/>
          <w:sz w:val="20"/>
        </w:rPr>
        <w:t>and</w:t>
      </w:r>
      <w:r>
        <w:rPr>
          <w:color w:val="231F20"/>
        </w:rPr>
        <w:t xml:space="preserve"> </w:t>
      </w:r>
      <w:r>
        <w:rPr>
          <w:rFonts w:ascii="Times New Roman;serif" w:hAnsi="Times New Roman;serif"/>
          <w:b w:val="false"/>
          <w:i/>
          <w:color w:val="231F20"/>
          <w:sz w:val="20"/>
        </w:rPr>
        <w:t>Accountability</w:t>
      </w:r>
      <w:r>
        <w:rPr>
          <w:color w:val="231F20"/>
        </w:rPr>
        <w:t>—</w:t>
      </w:r>
      <w:r>
        <w:rPr>
          <w:rFonts w:ascii="Times New Roman;serif" w:hAnsi="Times New Roman;serif"/>
          <w:b w:val="false"/>
          <w:color w:val="231F20"/>
          <w:sz w:val="20"/>
        </w:rPr>
        <w:t>Deliver</w:t>
      </w:r>
      <w:r>
        <w:rPr>
          <w:color w:val="231F20"/>
        </w:rPr>
        <w:t xml:space="preserve"> </w:t>
      </w:r>
      <w:r>
        <w:rPr>
          <w:rFonts w:ascii="Times New Roman;serif" w:hAnsi="Times New Roman;serif"/>
          <w:b w:val="false"/>
          <w:color w:val="231F20"/>
          <w:sz w:val="20"/>
        </w:rPr>
        <w:t>smooth</w:t>
      </w:r>
      <w:r>
        <w:rPr>
          <w:color w:val="231F20"/>
        </w:rPr>
        <w:t xml:space="preserve"> </w:t>
      </w:r>
      <w:r>
        <w:rPr>
          <w:rFonts w:ascii="Times New Roman;serif" w:hAnsi="Times New Roman;serif"/>
          <w:b w:val="false"/>
          <w:color w:val="231F20"/>
          <w:sz w:val="20"/>
        </w:rPr>
        <w:t>experiences</w:t>
      </w:r>
      <w:r>
        <w:rPr>
          <w:color w:val="231F20"/>
        </w:rPr>
        <w:t xml:space="preserve"> </w:t>
      </w:r>
      <w:r>
        <w:rPr>
          <w:rFonts w:ascii="Times New Roman;serif" w:hAnsi="Times New Roman;serif"/>
          <w:b w:val="false"/>
          <w:color w:val="231F20"/>
          <w:sz w:val="20"/>
        </w:rPr>
        <w:t>wherever</w:t>
      </w:r>
      <w:r>
        <w:rPr>
          <w:color w:val="231F20"/>
        </w:rPr>
        <w:t xml:space="preserve"> </w:t>
      </w:r>
      <w:r>
        <w:rPr>
          <w:rFonts w:ascii="Times New Roman;serif" w:hAnsi="Times New Roman;serif"/>
          <w:b w:val="false"/>
          <w:color w:val="231F20"/>
          <w:sz w:val="20"/>
        </w:rPr>
        <w:t>possible.</w:t>
      </w:r>
      <w:r>
        <w:rPr>
          <w:color w:val="231F20"/>
        </w:rPr>
        <w:t xml:space="preserve"> </w:t>
      </w:r>
      <w:r>
        <w:rPr>
          <w:rFonts w:ascii="Times New Roman;serif" w:hAnsi="Times New Roman;serif"/>
          <w:b w:val="false"/>
          <w:color w:val="231F20"/>
          <w:sz w:val="20"/>
        </w:rPr>
        <w:t>Build</w:t>
      </w:r>
      <w:r>
        <w:rPr>
          <w:color w:val="231F20"/>
        </w:rPr>
        <w:t xml:space="preserve"> </w:t>
      </w:r>
      <w:r>
        <w:rPr>
          <w:rFonts w:ascii="Times New Roman;serif" w:hAnsi="Times New Roman;serif"/>
          <w:b w:val="false"/>
          <w:color w:val="231F20"/>
          <w:sz w:val="20"/>
        </w:rPr>
        <w:t>trust</w:t>
      </w:r>
      <w:r>
        <w:rPr>
          <w:color w:val="231F20"/>
        </w:rPr>
        <w:t xml:space="preserve"> </w:t>
      </w:r>
      <w:r>
        <w:rPr>
          <w:rFonts w:ascii="Times New Roman;serif" w:hAnsi="Times New Roman;serif"/>
          <w:b w:val="false"/>
          <w:color w:val="231F20"/>
          <w:sz w:val="20"/>
        </w:rPr>
        <w:t>through</w:t>
      </w:r>
      <w:r>
        <w:rPr>
          <w:color w:val="231F20"/>
        </w:rPr>
        <w:t xml:space="preserve"> </w:t>
      </w:r>
      <w:r>
        <w:rPr>
          <w:rFonts w:ascii="Times New Roman;serif" w:hAnsi="Times New Roman;serif"/>
          <w:b w:val="false"/>
          <w:color w:val="231F20"/>
          <w:sz w:val="20"/>
        </w:rPr>
        <w:t>action. Be consistently and constantly accountable.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Employees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341 full time employees and one part-time employee. None of our employees are represented by a labor union, and we consider our employee relations to be in good standing. To date, we have not experienced any work stoppages.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website is located at www.kodiak.ai, and our investor relations website is located at investors.kodiak.ai. Copies of our Annual Report on Form 10-K, Quarterly Reports on Form 10-Q, Current Reports on Form 8-K and amendments to these reports filed or furnished pursuant to Section 13(a) or 15(d) of the Securities Exchange Act of 1934, as amended, are available free of charge on our investor relations website as soon as reasonably practicable after we file such material electronically with or furnish it to the Securities and Exchange Commission (the “SEC”). The SEC also maintains a website that contains our SEC filings at www.sec.gov.</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announce material information to the public about us, our products and services and other matters through a variety of means, including filings with the SEC, press releases, public conference calls, webcasts, and the investor relations section of our website (investors.kodiak.ai) in order to achieve broad, non-exclusionary distribution of information to the public and for complying with our disclosure obligations under Regulation FD. The contents of our websites and corporate reports mentioned herein are not incorporated by reference into this Annual Report on Form 10-K or in any other report or document we file with the SEC, and any references to our websites or the contents of our websites are intended to be inactive textual references only.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ind w:left="0" w:right="0" w:firstLine="490"/>
        <w:jc w:val="left"/>
        <w:rPr>
          <w:rFonts w:ascii="Times New Roman;serif" w:hAnsi="Times New Roman;serif"/>
          <w:b w:val="false"/>
          <w:i/>
          <w:color w:val="000000"/>
          <w:sz w:val="20"/>
        </w:rPr>
      </w:pPr>
      <w:r>
        <w:rPr>
          <w:rFonts w:ascii="Times New Roman;serif" w:hAnsi="Times New Roman;serif"/>
          <w:b w:val="false"/>
          <w:i/>
          <w:color w:val="000000"/>
          <w:sz w:val="20"/>
        </w:rPr>
        <w:t xml:space="preserve">Investing in our securities involves a high degree of risk. Before deciding to invest in or to maintain an investment in our securities,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thereto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8"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included elsewhere in this Annual Report. Our business, as well as our reputation, financial condition, results of operations and price of our securities could also be adversely affected any of these risks and other risks and uncertainties not currently known to us or that we currently do not believe are material. In that event, the market price of our securities could decline, and you could lose part or all of your investment.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summary of risk factors should be carefully considered. These are not the only risks we face. Additional risks that are unknown or currently considered less significant may also affect our business or financial results. If any of these risks occur, our business, financial condition, results of operations, or stock price could be materially and adversely affected. For further details, please see the full discussion of risk factors below.</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AV technology is emerging and rapidly evolving and involves significant risks and uncertainties.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have incurred net losses since inception and may not achieve or maintain profitability.</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Our limited operating history makes it difficult to evaluate our future prospects and the risks and challenges we may encounter.</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Our technology may have limited performance, and technology development and commercialization may take us longer to complete than we currently anticipate.</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Any failure to commercialize our solution at scale may have an adverse effect on our business, financial condition, and results of operations.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rely on a limited number of customers for a significant portion of our revenue.</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 xml:space="preserve">We depend on our commercial agreements with </w:t>
      </w:r>
      <w:r>
        <w:rPr>
          <w:rFonts w:ascii="Times New Roman;serif" w:hAnsi="Times New Roman;serif"/>
          <w:b w:val="false"/>
          <w:color w:val="231F20"/>
          <w:sz w:val="20"/>
        </w:rPr>
        <w:t>Atlas</w:t>
      </w:r>
      <w:r>
        <w:rPr>
          <w:rFonts w:ascii="Times New Roman;serif" w:hAnsi="Times New Roman;serif"/>
          <w:b w:val="false"/>
          <w:color w:val="000000"/>
          <w:sz w:val="20"/>
        </w:rPr>
        <w:t>.</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AV technology presents the risk of significant injury, including fatalities.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The Kodiak Driver, our virtual driver system that combines advanced AI-powered software with modular, vehicle-agnostic hardware, may not function as intended due to flaws or errors in our software, hardware, and systems, product defects, or due to human error.</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 xml:space="preserve">Any flaws or misuse of </w:t>
      </w:r>
      <w:r>
        <w:rPr>
          <w:rFonts w:ascii="Times New Roman;serif" w:hAnsi="Times New Roman;serif"/>
          <w:b w:val="false"/>
          <w:color w:val="231F20"/>
          <w:sz w:val="20"/>
        </w:rPr>
        <w:t>AV</w:t>
      </w:r>
      <w:r>
        <w:rPr>
          <w:color w:val="000000"/>
        </w:rPr>
        <w:t xml:space="preserve"> </w:t>
      </w:r>
      <w:r>
        <w:rPr>
          <w:rFonts w:ascii="Times New Roman;serif" w:hAnsi="Times New Roman;serif"/>
          <w:b w:val="false"/>
          <w:color w:val="000000"/>
          <w:sz w:val="20"/>
        </w:rPr>
        <w:t>technology, whether actual or perceived, intended or inadvertent, by us or third parties, may adversely affect our business, financial condition, and results of operations.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operate in a highly competitive market, and we may be unable to compete effectively, including against competitors who may have greater resources.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Our success is contingent on our ability to execute our DaaS business model, including by maintaining, managing, retaining, and expanding our existing customer relationships and obtaining new customers.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Recent and further changes in the tariff and trade policies of the United States or of other countries could increase manufacturing costs, decrease demand for our solution, disrupt supply chains, or otherwise adversely affect our business and financial condition.</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depend on the experience and expertise of our senior management team, engineers, and certain other key employees.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rely on our third-party suppliers, OEMs, upfitters, service providers and partners, some of which are single or limited-source suppliers or providers of certain key components for, and services used in connection with, the Kodiak Driver.</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are subject to substantial regulations, including regulations governing motor carriers and autonomous vehicles.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may not be able to adequately establish, maintain, protect, and enforce our technology and intellectual property rights or prevent others from unauthorized use of our technology and intellectual property rights.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may be subject to intellectual property infringement claims, which, whether meritless or not, may be expensive and time consuming to defend, distract management, require us to pay significant damages and limit our ability to use certain technologies.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A significant portion of our historical revenue has come from our contracts with the U.S. Department of War (</w:t>
      </w:r>
      <w:r>
        <w:rPr>
          <w:color w:val="231F20"/>
        </w:rPr>
        <w:t>“</w:t>
      </w:r>
      <w:r>
        <w:rPr>
          <w:rFonts w:ascii="Times New Roman;serif" w:hAnsi="Times New Roman;serif"/>
          <w:b w:val="false"/>
          <w:color w:val="000000"/>
          <w:sz w:val="20"/>
        </w:rPr>
        <w:t>DoW</w:t>
      </w:r>
      <w:r>
        <w:rPr>
          <w:color w:val="231F20"/>
        </w:rPr>
        <w:t>”</w:t>
      </w:r>
      <w:r>
        <w:rPr>
          <w:rFonts w:ascii="Times New Roman;serif" w:hAnsi="Times New Roman;serif"/>
          <w:b w:val="false"/>
          <w:color w:val="000000"/>
          <w:sz w:val="20"/>
        </w:rPr>
        <w:t xml:space="preserve">) and our failure to receive and maintain government contracts or changes in the contracting or fiscal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9"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policies of the U.S. Government may adversely affect our business, financial condition, and results of operations.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require significant capital to fund our operations and growth.</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Real or perceived inaccuracies in our assumptions and estimates to calculate certain metrics, including our Cumulative Hours of Paid Driverless Operations.</w:t>
      </w:r>
    </w:p>
    <w:p>
      <w:pPr>
        <w:pStyle w:val="TextBody"/>
        <w:bidi w:val="0"/>
        <w:spacing w:lineRule="auto" w:line="268" w:before="0" w:after="120"/>
        <w:ind w:left="0" w:right="0" w:hanging="475"/>
        <w:jc w:val="left"/>
        <w:rPr/>
      </w:pPr>
      <w:r>
        <w:rPr>
          <w:color w:val="000000"/>
        </w:rPr>
        <w:t>•</w:t>
      </w:r>
      <w:r>
        <w:rPr>
          <w:rFonts w:ascii="Times New Roman;serif" w:hAnsi="Times New Roman;serif"/>
          <w:b w:val="false"/>
          <w:color w:val="000000"/>
          <w:sz w:val="20"/>
        </w:rPr>
        <w:t>General business and economic conditions, and risks related to the long-haul trucking, industrial trucking, oil and gas, and defense industries ecosystems, may adversely affect our business, financial condition, and results of operations.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The sale of securities registered for resale and future sales of substantial amounts of our common stock in the public markets, or the perception that such sales could occur, may cause the market price of our securities to drop significantly, even if our business is doing well.</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There is no guarantee that the Public Warrants will ever be in the money, and they may expire worthless.</w:t>
      </w:r>
    </w:p>
    <w:p>
      <w:pPr>
        <w:pStyle w:val="TextBody"/>
        <w:bidi w:val="0"/>
        <w:spacing w:lineRule="auto" w:line="288" w:before="0" w:after="360"/>
        <w:ind w:left="0" w:right="0" w:hanging="475"/>
        <w:jc w:val="left"/>
        <w:rPr/>
      </w:pPr>
      <w:r>
        <w:rPr>
          <w:color w:val="000000"/>
        </w:rPr>
        <w:t>•</w:t>
      </w:r>
      <w:r>
        <w:rPr>
          <w:rFonts w:ascii="Times New Roman;serif" w:hAnsi="Times New Roman;serif"/>
          <w:b w:val="false"/>
          <w:color w:val="000000"/>
          <w:sz w:val="20"/>
        </w:rPr>
        <w:t>Your Public Warrants may be redeemed prior to their exercise at a time that is disadvantageous to you.</w:t>
      </w:r>
    </w:p>
    <w:p>
      <w:pPr>
        <w:pStyle w:val="TextBody"/>
        <w:bidi w:val="0"/>
        <w:spacing w:lineRule="auto" w:line="288" w:before="0" w:after="240"/>
        <w:jc w:val="left"/>
        <w:rPr>
          <w:rFonts w:ascii="Times New Roman;serif" w:hAnsi="Times New Roman;serif"/>
          <w:b/>
          <w:color w:val="231F20"/>
          <w:sz w:val="20"/>
        </w:rPr>
      </w:pPr>
      <w:r>
        <w:rPr>
          <w:rFonts w:ascii="Times New Roman;serif" w:hAnsi="Times New Roman;serif"/>
          <w:b/>
          <w:color w:val="231F20"/>
          <w:sz w:val="20"/>
        </w:rPr>
        <w:t>Risks Related to Our Business</w:t>
      </w:r>
    </w:p>
    <w:p>
      <w:pPr>
        <w:pStyle w:val="TextBody"/>
        <w:bidi w:val="0"/>
        <w:spacing w:lineRule="auto" w:line="288" w:before="130" w:after="240"/>
        <w:jc w:val="left"/>
        <w:rPr>
          <w:rFonts w:ascii="Times New Roman;serif" w:hAnsi="Times New Roman;serif"/>
          <w:b/>
          <w:i/>
          <w:color w:val="231F20"/>
          <w:sz w:val="20"/>
        </w:rPr>
      </w:pPr>
      <w:r>
        <w:rPr>
          <w:rFonts w:ascii="Times New Roman;serif" w:hAnsi="Times New Roman;serif"/>
          <w:b/>
          <w:i/>
          <w:color w:val="231F20"/>
          <w:sz w:val="20"/>
        </w:rPr>
        <w:t>AV technology is an emerging and rapidly evolving technology and involves significant risks and uncertainties, any of which could impede or delay our ability to scale.</w:t>
      </w:r>
    </w:p>
    <w:p>
      <w:pPr>
        <w:pStyle w:val="TextBody"/>
        <w:bidi w:val="0"/>
        <w:spacing w:lineRule="auto" w:line="288" w:before="122"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AV technology operates in environments where safety and precision are critical. There are a number of challenges in bringing a new and innovative technology to the market, including public perception of the technology and its performance and safety, long development cycles, specialized skills and expertise requirements of personnel, inconsistent and evolving regulatory frameworks, the potential for novel legal claims, and a need to build public trust in the real-world operations of an emerging technology. If we are delayed in overcoming, or are not able to overcome, these challenges, our commercial prospects, business, financial condition, and results of operations may be adversely affected, and we may not be able to sustain a viable business.</w:t>
      </w:r>
    </w:p>
    <w:p>
      <w:pPr>
        <w:pStyle w:val="TextBody"/>
        <w:bidi w:val="0"/>
        <w:spacing w:lineRule="auto" w:line="288" w:before="1"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may not succeed at commercial scale, or at all. The successful commercialization of the Kodiak Driver at scale involves many challenges and uncertainties, including:</w:t>
      </w:r>
    </w:p>
    <w:p>
      <w:pPr>
        <w:pStyle w:val="TextBody"/>
        <w:bidi w:val="0"/>
        <w:spacing w:lineRule="auto" w:line="288" w:before="121" w:after="283"/>
        <w:ind w:left="0" w:right="0" w:hanging="475"/>
        <w:jc w:val="left"/>
        <w:rPr>
          <w:color w:val="231F20"/>
        </w:rPr>
      </w:pPr>
      <w:r>
        <w:rPr>
          <w:color w:val="231F20"/>
        </w:rPr>
        <w:t>•    </w:t>
      </w:r>
      <w:r>
        <w:rPr>
          <w:rFonts w:ascii="Times New Roman;serif" w:hAnsi="Times New Roman;serif"/>
          <w:b w:val="false"/>
          <w:color w:val="231F20"/>
          <w:sz w:val="20"/>
        </w:rPr>
        <w:t>achieving acceptably safe autonomous performance as determined by us, our customers, government and regulatory agencies, our partners and the general public;</w:t>
      </w:r>
    </w:p>
    <w:p>
      <w:pPr>
        <w:pStyle w:val="TextBody"/>
        <w:bidi w:val="0"/>
        <w:spacing w:lineRule="auto" w:line="288" w:before="122" w:after="283"/>
        <w:ind w:left="0" w:right="0" w:hanging="475"/>
        <w:jc w:val="left"/>
        <w:rPr>
          <w:color w:val="231F20"/>
        </w:rPr>
      </w:pPr>
      <w:r>
        <w:rPr>
          <w:color w:val="231F20"/>
        </w:rPr>
        <w:t>•    </w:t>
      </w:r>
      <w:r>
        <w:rPr>
          <w:rFonts w:ascii="Times New Roman;serif" w:hAnsi="Times New Roman;serif"/>
          <w:b w:val="false"/>
          <w:color w:val="231F20"/>
          <w:sz w:val="20"/>
        </w:rPr>
        <w:t>continued development of the Kodiak Driver, including system design, product features, vehicle integrations and operating domain and geographical expansion, based on the needs of our customers;</w:t>
      </w:r>
    </w:p>
    <w:p>
      <w:pPr>
        <w:pStyle w:val="TextBody"/>
        <w:bidi w:val="0"/>
        <w:spacing w:lineRule="auto" w:line="288" w:before="121" w:after="283"/>
        <w:ind w:left="0" w:right="0" w:hanging="475"/>
        <w:jc w:val="both"/>
        <w:rPr>
          <w:color w:val="231F20"/>
        </w:rPr>
      </w:pPr>
      <w:r>
        <w:rPr>
          <w:color w:val="231F20"/>
        </w:rPr>
        <w:t>•    </w:t>
      </w:r>
      <w:r>
        <w:rPr>
          <w:rFonts w:ascii="Times New Roman;serif" w:hAnsi="Times New Roman;serif"/>
          <w:b w:val="false"/>
          <w:color w:val="231F20"/>
          <w:sz w:val="20"/>
        </w:rPr>
        <w:t>successfully completing system testing, validation, and to the extent required, safety approvals, including with respect to government and regulatory agencies and customer- or partner-specific requirements;</w:t>
      </w:r>
    </w:p>
    <w:p>
      <w:pPr>
        <w:pStyle w:val="TextBody"/>
        <w:bidi w:val="0"/>
        <w:spacing w:lineRule="auto" w:line="288" w:before="123" w:after="283"/>
        <w:ind w:left="0" w:right="0" w:hanging="475"/>
        <w:jc w:val="left"/>
        <w:rPr>
          <w:color w:val="231F20"/>
        </w:rPr>
      </w:pPr>
      <w:r>
        <w:rPr>
          <w:color w:val="231F20"/>
        </w:rPr>
        <w:t>•    </w:t>
      </w:r>
      <w:r>
        <w:rPr>
          <w:rFonts w:ascii="Times New Roman;serif" w:hAnsi="Times New Roman;serif"/>
          <w:b w:val="false"/>
          <w:color w:val="231F20"/>
          <w:sz w:val="20"/>
        </w:rPr>
        <w:t>maintaining relationships with third parties, including OEMs, third-party suppliers of the component parts of the Kodiak Driver, upfitters, large language model providers, and other technology providers that support our product development and service providers and other third parties who support our commercialization strategy;</w:t>
      </w:r>
    </w:p>
    <w:p>
      <w:pPr>
        <w:pStyle w:val="TextBody"/>
        <w:bidi w:val="0"/>
        <w:spacing w:lineRule="auto" w:line="288" w:before="122" w:after="283"/>
        <w:ind w:left="0" w:right="0" w:hanging="475"/>
        <w:jc w:val="left"/>
        <w:rPr>
          <w:color w:val="231F20"/>
        </w:rPr>
      </w:pPr>
      <w:r>
        <w:rPr>
          <w:color w:val="231F20"/>
        </w:rPr>
        <w:t>•    </w:t>
      </w:r>
      <w:r>
        <w:rPr>
          <w:rFonts w:ascii="Times New Roman;serif" w:hAnsi="Times New Roman;serif"/>
          <w:b w:val="false"/>
          <w:color w:val="231F20"/>
          <w:sz w:val="20"/>
        </w:rPr>
        <w:t>preserving our core intellectual property rights and obtaining rights from third parties for intellectual property that may be critical to our current and future research and development activities;</w:t>
      </w:r>
    </w:p>
    <w:p>
      <w:pPr>
        <w:pStyle w:val="TextBody"/>
        <w:bidi w:val="0"/>
        <w:spacing w:lineRule="auto" w:line="288" w:before="122" w:after="283"/>
        <w:ind w:left="0" w:right="0" w:hanging="475"/>
        <w:jc w:val="left"/>
        <w:rPr>
          <w:color w:val="231F20"/>
        </w:rPr>
      </w:pPr>
      <w:r>
        <w:rPr>
          <w:color w:val="231F20"/>
        </w:rPr>
        <w:t>•    </w:t>
      </w:r>
      <w:r>
        <w:rPr>
          <w:rFonts w:ascii="Times New Roman;serif" w:hAnsi="Times New Roman;serif"/>
          <w:b w:val="false"/>
          <w:color w:val="231F20"/>
          <w:sz w:val="20"/>
        </w:rPr>
        <w:t>continuing to fund and maintain our technology development activities while scaling our commercial operations; and</w:t>
      </w:r>
    </w:p>
    <w:p>
      <w:pPr>
        <w:pStyle w:val="TextBody"/>
        <w:bidi w:val="0"/>
        <w:spacing w:lineRule="auto" w:line="288" w:before="122" w:after="240"/>
        <w:ind w:left="0" w:right="0" w:hanging="475"/>
        <w:jc w:val="left"/>
        <w:rPr>
          <w:color w:val="231F20"/>
        </w:rPr>
      </w:pPr>
      <w:r>
        <w:rPr>
          <w:color w:val="231F20"/>
        </w:rPr>
        <w:t>•    </w:t>
      </w:r>
      <w:r>
        <w:rPr>
          <w:rFonts w:ascii="Times New Roman;serif" w:hAnsi="Times New Roman;serif"/>
          <w:b w:val="false"/>
          <w:color w:val="231F20"/>
          <w:sz w:val="20"/>
        </w:rPr>
        <w:t>obtaining or maintaining approvals, licenses, or certifications from regulatory agencies, if required.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have incurred net losses since inception, and we may not achieve or maintain profitability in the future.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have incurred net losses since our inception. During the years ended December 31, 2025, 2024, and 2023, we incurred net losses of $585.5 million, $69.5 million, and $56.9 million, respectively. We intend to continue making investments in our business, particularly with respect to scaling driverless commercial operations of the Kodiak Driver, which may take longer than we currently expect or may never occur. We expect such investments will include continued investments in sales and marketing, development of new product features, infrastructure, expansion of our operations,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0"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pPr>
      <w:r>
        <w:rPr>
          <w:rFonts w:ascii="Times New Roman;serif" w:hAnsi="Times New Roman;serif"/>
          <w:b w:val="false"/>
          <w:color w:val="000000"/>
          <w:sz w:val="20"/>
        </w:rPr>
        <w:t xml:space="preserve">general and administrative functions, including legal, regulatory, compliance, security, and accounting expenses related to our business. These investments may not result in increased revenue or growth in our business and may contribute to future losses. We have incurred, and expect to incur in the future, losses for a number of reasons, including further investments in scaling our commercial operations, unexpected expenditures or costs, and the other risks described </w:t>
      </w:r>
      <w:r>
        <w:rPr>
          <w:rFonts w:ascii="Times New Roman;serif" w:hAnsi="Times New Roman;serif"/>
          <w:b w:val="false"/>
          <w:color w:val="231F20"/>
          <w:sz w:val="20"/>
        </w:rPr>
        <w:t>in this “</w:t>
      </w:r>
      <w:r>
        <w:rPr>
          <w:rFonts w:ascii="Times New Roman;serif" w:hAnsi="Times New Roman;serif"/>
          <w:b w:val="false"/>
          <w:i/>
          <w:color w:val="231F20"/>
          <w:sz w:val="20"/>
        </w:rPr>
        <w:t>Risk Factors</w:t>
      </w:r>
      <w:r>
        <w:rPr>
          <w:color w:val="231F20"/>
        </w:rPr>
        <w:t xml:space="preserve">” </w:t>
      </w:r>
      <w:r>
        <w:rPr>
          <w:rFonts w:ascii="Times New Roman;serif" w:hAnsi="Times New Roman;serif"/>
          <w:b w:val="false"/>
          <w:color w:val="231F20"/>
          <w:sz w:val="20"/>
        </w:rPr>
        <w:t>section. If we are unable to successfully address these risks as we encounter them, our business, financial condition, and results of operations may be adversely affected.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limited operating history makes it difficult to evaluate our future prospects and the risks and challenges we may encounter.</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Legacy Kodiak was founded in 2018, and since then we have been focused on developing driverless technology. We began driverless commercial operations in December 2024. Our limited operating history makes it difficult to evaluate our future prospects and the risks and challenges we may encounter. Risks and challenges we have faced or expect to face include our ability to:</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design, develop, test, and validate the Kodiak Driver for the variety of commercial applications and environments in which we plan to deploy, such as on-highway and off-highway operations, industrial applications, and defense applications;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produce and deliver our technology at an acceptable level of safety and performance;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properly price our solution;</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plan for and manage our costs;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hire, integrate, and retain talented people;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forecast our revenue as well as budget for and manage our expenses;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attract new partners and customers and retain and expand our deployment with existing partners and customers;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navigate an evolving and complex regulatory environment;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manage our supply chain and supplier relationships, including any tariff-related impacts on our supply chain;</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anticipate and respond to macroeconomic changes and changes in the markets in which we operate;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maintain and enhance the value of our reputation and brand;</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effectively manage our growth and business operations, including the impacts of unforeseen market changes on our business;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develop and protect intellectual property; and</w:t>
      </w:r>
    </w:p>
    <w:p>
      <w:pPr>
        <w:pStyle w:val="TextBody"/>
        <w:bidi w:val="0"/>
        <w:spacing w:lineRule="auto" w:line="288" w:before="0" w:after="240"/>
        <w:ind w:left="0" w:right="0" w:hanging="360"/>
        <w:jc w:val="left"/>
        <w:rPr>
          <w:color w:val="000000"/>
        </w:rPr>
      </w:pPr>
      <w:r>
        <w:rPr>
          <w:color w:val="000000"/>
        </w:rPr>
        <w:t>•    </w:t>
      </w:r>
      <w:r>
        <w:rPr>
          <w:rFonts w:ascii="Times New Roman;serif" w:hAnsi="Times New Roman;serif"/>
          <w:b w:val="false"/>
          <w:color w:val="000000"/>
          <w:sz w:val="20"/>
        </w:rPr>
        <w:t>successfully develop new features, applications, and services to enhance the experience of our customers.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If we fail to address the risks and difficulties that we face, including those associated with the challenges listed above, as well as those described elsewhere in this section titled “Risk Factors,” our business, financial condition and results of operations may be adversely affected. Further, because we have limited historical financial data and operate in a rapidly evolving market, any predictions about our future revenue and expenses may not be as accurate as they may be if we had a longer operating history or operated in a more predictable market. We have encountered in the past, and will encounter in the future, risks and uncertainties frequently experienced by growing companies with limited operating histories in rapidly changing industries. We use assumptions regarding these risks and uncertainties to plan and operate our business. If our assumptions are incorrect or change, or if we do not address these risks successfully, our results of operations may differ materially from our expectations and our business, financial condition, and results of operations may be adversely affected.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technology may have limited performance, and technology development and commercialization may take us longer to complete than we currently anticipate.</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Commercial operation of driverless technology requires that we meet very high reliability standards for safety, performance and uptime. We may be unable to release new features or customize products that meet our intended commercial use cases or customer requirements in a timely manner or at all, and therefore experience more limited monetization of our technology. We believe the Kodiak Driver can operate in a wide range of environments, including a variety of road conditions, speeds, weather and traffic patterns, as well as different truck types and truck loads. However,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1"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231F20"/>
          <w:sz w:val="20"/>
        </w:rPr>
      </w:pPr>
      <w:r>
        <w:rPr>
          <w:rFonts w:ascii="Times New Roman;serif" w:hAnsi="Times New Roman;serif"/>
          <w:b w:val="false"/>
          <w:color w:val="231F20"/>
          <w:sz w:val="20"/>
        </w:rPr>
        <w:t>the Kodiak Driver, or its hardware or software fails to perform at scale in such environments, or if our technology development takes longer than currently projected, our commercial competitiveness, prospects, business, financial condition and results of operations may be adversely affected.</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Further, technological development or commercialization at scale has taken longer than initially anticipated in the AV industry. While we have successfully launched commercial operations with the Kodiak Driver in an off-highway setting, it may take us more time than anticipated to expand our safety case for driverless operations for on-highway scenarios, to scale across our areas of operations, or to establish and grow our existing or future customer or partner relationships. Our future business depends in large part on our ability to continue to develop and successfully commercialize the Kodiak Driver. Our ability to develop, deliver, and commercialize the Kodiak Driver at scale to support or perform autonomous and driverless operations on a variety of vehicle types and in a variety of conditions is still largely unproven. Any failure to meet our technological and commercialization objectives may adversely affect our business, financial condition, and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Kodiak Driver may not be accepted and adopted by the market, the public, regulators or other stakeholders at the pace we expect or at all.</w:t>
      </w:r>
    </w:p>
    <w:p>
      <w:pPr>
        <w:pStyle w:val="TextBody"/>
        <w:bidi w:val="0"/>
        <w:spacing w:lineRule="auto" w:line="288" w:before="113"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AV technology is still nascent and is neither generally understood nor universally accepted. We are at risk of adverse publicity which may result in decreased customer demand for, public acceptance of, or increased regulatory concerns regarding our technology. If we cannot gain sufficient trust in our technology, we will be unable to commercialize to scale as intended. For example, we may experience adverse publicity or media reports that argue autonomous technology is replacing human jobs or disrupting the economy. Labor unions may also raise concerns about autonomous truck safety, displacing drivers or otherwise negatively affecting employment opportunities for their members. This has in the past resulted in, and could in the future result in, negative publicity, lobbying efforts to U.S. local, state, and federal authorities, or equivalent authorities in the foreign jurisdictions in which we seek to do business, to implement legislation or regulations that make it more difficult to operate our business or boycotts of us or our users. Such negative publicity, media attention, or the activities of labor or other interest groups may cause current and future partners or customers to limit or terminate their business with us, which may significantly impact our ability to grow our business.</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As the market for autonomous vehicles develops, the differences in the approaches of Kodiak and others may become more widely known to suppliers, insurers, regulators, and others. Until these distinctions are known and appreciated, the actions of a single market participant may be imputed to the autonomous industry as a whole. As such, as a result of any negative action or inaction by a third party, it is possible that suppliers, insurers, regulators, and others may refuse or cease to interact with or conduct business with the autonomous vehicle industry as a whole, including Kodiak.</w:t>
      </w:r>
    </w:p>
    <w:p>
      <w:pPr>
        <w:pStyle w:val="TextBody"/>
        <w:bidi w:val="0"/>
        <w:spacing w:lineRule="auto" w:line="288" w:before="228"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If the market does not accept and adopt our services and technology at the pace we expect or at all, it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Any failure to commercialize our solution at scale may have an adverse effect on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a relatively new enterprise that is just beginning to commercially scale our business. For instance, in December 2024, we announced the delivery of our first Kodiak Driver-powered, customer-owned driverless trucks to Atlas. Following successful real-world operations and achievement of certain milestones, in March 2025, Atlas committed to deploying the Kodiak Driver on 100 Atlas-owned trucks, subject to the terms of a Master Services Agreement between us and Atlas, effective as of July 17, 2024 (as supplemented, the “Atlas MSA”). Relationships with Atlas and other current customers are important to our existing operations. We also need to both successfully scale driverless operations with Atlas and other customers and attract new customers to commercially scale our business. As part of our scaling efforts, we may encounter considerable challenges in entering new markets and undertaking sales and marketing activities, many of which are beyond our control. The likelihood of our success must be considered in light of these potential risks, expenses, complications, delays, and the competitive environment in which we operate. Consequently, there is substantial uncertainty that our business model will prove successful and sustainable. We may not be able to generate significant revenue or achieve profitability. In addition, any failure to commercialize our solutions within our projected timelines may adversely affect our business, financial condition and results of operations. Any investment in us is therefore highly speculative and may result in the loss of your entire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2"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rely on a limited number of customers for a significant portion of our revenue. The loss of, or a reduction in our commercial relationship with, any of those customers may adversely affect our business, financial condition, and results of operations.</w:t>
      </w:r>
    </w:p>
    <w:p>
      <w:pPr>
        <w:pStyle w:val="TextBody"/>
        <w:bidi w:val="0"/>
        <w:spacing w:lineRule="auto" w:line="288" w:before="0" w:after="0"/>
        <w:ind w:left="0" w:right="0" w:firstLine="490"/>
        <w:jc w:val="left"/>
        <w:rPr/>
      </w:pPr>
      <w:r>
        <w:rPr>
          <w:rFonts w:ascii="Times New Roman;serif" w:hAnsi="Times New Roman;serif"/>
          <w:b w:val="false"/>
          <w:color w:val="231F20"/>
          <w:sz w:val="20"/>
        </w:rPr>
        <w:t xml:space="preserve">A significant portion of our revenue has been generated from a limited number of customers, and we expect that to continue in the near term. For example, for the </w:t>
      </w:r>
      <w:r>
        <w:rPr>
          <w:rFonts w:ascii="Times New Roman;serif" w:hAnsi="Times New Roman;serif"/>
          <w:b w:val="false"/>
          <w:color w:val="000000"/>
          <w:sz w:val="20"/>
        </w:rPr>
        <w:t>years ended December 31, 2025, 2024, and 2023,</w:t>
      </w:r>
      <w:r>
        <w:rPr>
          <w:color w:val="231F20"/>
        </w:rPr>
        <w:t xml:space="preserve"> </w:t>
      </w:r>
      <w:r>
        <w:rPr>
          <w:rFonts w:ascii="Times New Roman;serif" w:hAnsi="Times New Roman;serif"/>
          <w:b w:val="false"/>
          <w:color w:val="231F20"/>
          <w:sz w:val="20"/>
        </w:rPr>
        <w:t xml:space="preserve">we recognized revenue from the U.S. Army of </w:t>
      </w:r>
      <w:r>
        <w:rPr>
          <w:rFonts w:ascii="Times New Roman;serif" w:hAnsi="Times New Roman;serif"/>
          <w:b w:val="false"/>
          <w:color w:val="000000"/>
          <w:sz w:val="20"/>
        </w:rPr>
        <w:t>$1.0 million, $13.3 million, and</w:t>
      </w:r>
      <w:r>
        <w:rPr>
          <w:color w:val="231F20"/>
        </w:rPr>
        <w:t xml:space="preserve"> </w:t>
      </w:r>
      <w:r>
        <w:rPr>
          <w:rFonts w:ascii="Times New Roman;serif" w:hAnsi="Times New Roman;serif"/>
          <w:b w:val="false"/>
          <w:color w:val="000000"/>
          <w:sz w:val="20"/>
        </w:rPr>
        <w:t>$15.0 million</w:t>
      </w:r>
      <w:r>
        <w:rPr>
          <w:rFonts w:ascii="Times New Roman;serif" w:hAnsi="Times New Roman;serif"/>
          <w:b w:val="false"/>
          <w:color w:val="231F20"/>
          <w:sz w:val="20"/>
        </w:rPr>
        <w:t xml:space="preserve">, respectively, which represented </w:t>
      </w:r>
      <w:r>
        <w:rPr>
          <w:rFonts w:ascii="Times New Roman;serif" w:hAnsi="Times New Roman;serif"/>
          <w:b w:val="false"/>
          <w:color w:val="000000"/>
          <w:sz w:val="20"/>
        </w:rPr>
        <w:t>26%, 89%, and</w:t>
      </w:r>
      <w:r>
        <w:rPr>
          <w:color w:val="231F20"/>
        </w:rPr>
        <w:t xml:space="preserve"> </w:t>
      </w:r>
      <w:r>
        <w:rPr>
          <w:rFonts w:ascii="Times New Roman;serif" w:hAnsi="Times New Roman;serif"/>
          <w:b w:val="false"/>
          <w:color w:val="000000"/>
          <w:sz w:val="20"/>
        </w:rPr>
        <w:t>89%</w:t>
      </w:r>
      <w:r>
        <w:rPr>
          <w:rFonts w:ascii="Times New Roman;serif" w:hAnsi="Times New Roman;serif"/>
          <w:b w:val="false"/>
          <w:color w:val="231F20"/>
          <w:sz w:val="20"/>
        </w:rPr>
        <w:t>, respectively, of our revenues in such periods. While our contract with the U.S. Army was amended in connection with our work with the U.S. Marines and is still effective and the contract may be used for other work through its expiration in October 2026, there are currently a limited number of contracted deliverables to be completed. Government contracts, and associated revenue, particularly those with the DoW and its service branches, can be episodic in nature and difficult to predict from period to period. Further, we have historically derived a significant portion of our defense revenue from contracts pursuant to programs funded by governmental agencies, such as the DoW and the U.S. Army. A prolonged federal government shutdown may negatively impact the funding of, or eliminate, such programs or other programs we may otherwise be able to apply for or participate in, and shutdown and funding related delays in the contracting process may result in our incurring substantial labor or other costs without reimbursement, all of which may adversely affect our business, financial condition, and results of operations.</w:t>
      </w:r>
    </w:p>
    <w:p>
      <w:pPr>
        <w:pStyle w:val="TextBody"/>
        <w:bidi w:val="0"/>
        <w:spacing w:before="0" w:after="0"/>
        <w:ind w:left="0" w:right="0" w:firstLine="490"/>
        <w:jc w:val="left"/>
        <w:rPr/>
      </w:pPr>
      <w:r>
        <w:rPr/>
      </w:r>
    </w:p>
    <w:p>
      <w:pPr>
        <w:pStyle w:val="TextBody"/>
        <w:bidi w:val="0"/>
        <w:spacing w:lineRule="auto" w:line="288" w:before="0" w:after="240"/>
        <w:ind w:left="0" w:right="0" w:firstLine="450"/>
        <w:jc w:val="left"/>
        <w:rPr/>
      </w:pPr>
      <w:r>
        <w:rPr>
          <w:rFonts w:ascii="Times New Roman;serif" w:hAnsi="Times New Roman;serif"/>
          <w:b w:val="false"/>
          <w:color w:val="231F20"/>
          <w:sz w:val="20"/>
        </w:rPr>
        <w:t xml:space="preserve">In 2024, we partnered with Atlas and deployed our first Kodiak Driver-powered, customer-owned trucks. In March 2025 upon the achievement of certain milestones, Atlas committed to deploying the Kodiak Driver on 100 Atlas-owned trucks, subject to the terms of the Atlas MSA. Until we have scaled our commercial operations in on-highway operations and other applications of the Kodiak Driver, we expect our contract with Atlas to account for a growing portion of our revenue as we continue to deploy additional trucks to Atlas. For example, for the </w:t>
      </w:r>
      <w:r>
        <w:rPr>
          <w:rFonts w:ascii="Times New Roman;serif" w:hAnsi="Times New Roman;serif"/>
          <w:b w:val="false"/>
          <w:color w:val="000000"/>
          <w:sz w:val="20"/>
        </w:rPr>
        <w:t>year ended</w:t>
      </w:r>
      <w:r>
        <w:rPr>
          <w:color w:val="231F20"/>
        </w:rPr>
        <w:t xml:space="preserve"> </w:t>
      </w:r>
      <w:r>
        <w:rPr>
          <w:rFonts w:ascii="Times New Roman;serif" w:hAnsi="Times New Roman;serif"/>
          <w:b w:val="false"/>
          <w:color w:val="000000"/>
          <w:sz w:val="20"/>
        </w:rPr>
        <w:t>December 31, 2025</w:t>
      </w:r>
      <w:r>
        <w:rPr>
          <w:rFonts w:ascii="Times New Roman;serif" w:hAnsi="Times New Roman;serif"/>
          <w:b w:val="false"/>
          <w:color w:val="231F20"/>
          <w:sz w:val="20"/>
        </w:rPr>
        <w:t xml:space="preserve">, we recognized revenue from Atlas of </w:t>
      </w:r>
      <w:r>
        <w:rPr>
          <w:rFonts w:ascii="Times New Roman;serif" w:hAnsi="Times New Roman;serif"/>
          <w:b w:val="false"/>
          <w:color w:val="000000"/>
          <w:sz w:val="20"/>
        </w:rPr>
        <w:t>$1.8 million,</w:t>
      </w:r>
      <w:r>
        <w:rPr>
          <w:color w:val="231F20"/>
        </w:rPr>
        <w:t xml:space="preserve"> </w:t>
      </w:r>
      <w:r>
        <w:rPr>
          <w:rFonts w:ascii="Times New Roman;serif" w:hAnsi="Times New Roman;serif"/>
          <w:b w:val="false"/>
          <w:color w:val="231F20"/>
          <w:sz w:val="20"/>
        </w:rPr>
        <w:t xml:space="preserve">which represented </w:t>
      </w:r>
      <w:r>
        <w:rPr>
          <w:rFonts w:ascii="Times New Roman;serif" w:hAnsi="Times New Roman;serif"/>
          <w:b w:val="false"/>
          <w:color w:val="000000"/>
          <w:sz w:val="20"/>
        </w:rPr>
        <w:t>46%</w:t>
      </w:r>
      <w:r>
        <w:rPr>
          <w:color w:val="231F20"/>
        </w:rPr>
        <w:t xml:space="preserve"> </w:t>
      </w:r>
      <w:r>
        <w:rPr>
          <w:rFonts w:ascii="Times New Roman;serif" w:hAnsi="Times New Roman;serif"/>
          <w:b w:val="false"/>
          <w:color w:val="231F20"/>
          <w:sz w:val="20"/>
        </w:rPr>
        <w:t>of our total revenue.</w:t>
      </w:r>
    </w:p>
    <w:p>
      <w:pPr>
        <w:pStyle w:val="TextBody"/>
        <w:bidi w:val="0"/>
        <w:spacing w:lineRule="auto" w:line="288" w:before="1"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As we continue to scale our commercial business, the composition of our significant customers may vary. We believe our business, financial condition, and results of operations for the foreseeable future will continue to depend on the deployment of the Kodiak Driver by a relatively limited number of customers into their fleets.</w:t>
      </w:r>
    </w:p>
    <w:p>
      <w:pPr>
        <w:pStyle w:val="TextBody"/>
        <w:bidi w:val="0"/>
        <w:spacing w:lineRule="auto" w:line="288" w:before="2"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Consequently, our financial results may fluctuate significantly from period to period based on the actions of one or more significant customers. A customer may decide not to license the Kodiak Driver or take other actions that affect us for reasons that we cannot anticipate or control. Those reasons could relate to the customer’s financial condition, changes in the customer’s business strategy or operations, changes in technology, the introduction of alternative competing products, or the perceived quality or cost-effectiveness of the Kodiak Driver. Our customers may not perform as well as their competitors, which may cause them to delay or reduce the amount of business they do with us, which may in turn impact our business, financial condition and results of operations.</w:t>
      </w:r>
    </w:p>
    <w:p>
      <w:pPr>
        <w:pStyle w:val="TextBody"/>
        <w:bidi w:val="0"/>
        <w:spacing w:lineRule="auto" w:line="288" w:before="6"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Customers’ individual or aggregate needs may decline due to a number of factors, including supply chain challenges and macroeconomic conditions. Our agreements with customers may be cancelled, including for reasons outside of our control. In addition, our customers may seek to renegotiate the terms of agreements or renewals, or choose not to renew or expand their licenses of the Kodiak Driver. The loss of or a reduction in sales or anticipated sales to any customer or our inability to attract new significant customers and partners may adversely affect our business, financial condition, and results of operations.</w:t>
      </w:r>
    </w:p>
    <w:p>
      <w:pPr>
        <w:pStyle w:val="TextBody"/>
        <w:bidi w:val="0"/>
        <w:spacing w:lineRule="auto" w:line="288" w:before="73" w:after="240"/>
        <w:jc w:val="left"/>
        <w:rPr>
          <w:rFonts w:ascii="Times New Roman;serif" w:hAnsi="Times New Roman;serif"/>
          <w:b/>
          <w:i/>
          <w:color w:val="231F20"/>
          <w:sz w:val="20"/>
        </w:rPr>
      </w:pPr>
      <w:r>
        <w:rPr>
          <w:rFonts w:ascii="Times New Roman;serif" w:hAnsi="Times New Roman;serif"/>
          <w:b/>
          <w:i/>
          <w:color w:val="231F20"/>
          <w:sz w:val="20"/>
        </w:rPr>
        <w:t>We depend heavily on our commercial agreements with Atlas. If we are not able to maintain and expand our relationship with Atlas, our business, financial condition and results of operations may be adversely affected.</w:t>
      </w:r>
    </w:p>
    <w:p>
      <w:pPr>
        <w:pStyle w:val="TextBody"/>
        <w:bidi w:val="0"/>
        <w:spacing w:lineRule="auto" w:line="288" w:before="13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party to the Atlas MSA, pursuant to which we license to Atlas, through its logistics subsidiary, Fountainhead Logistics, LLC, the Kodiak Driver and provide related services, on Atlas-owned trucks. Under the Atlas MSA, Atlas subscribes to the Kodiak Driver, paying an annual fee per vehicle. A four-year term commences under the Atlas MSA on the date the vehicle upfitted with the Kodiak Driver is delivered to and accepted by Atlas. The Atlas MSA remains in effect so long as there are active licenses of the Kodiak Driver thereunder.</w:t>
      </w:r>
    </w:p>
    <w:p>
      <w:pPr>
        <w:pStyle w:val="TextBody"/>
        <w:bidi w:val="0"/>
        <w:spacing w:lineRule="auto" w:line="268" w:before="0" w:after="240"/>
        <w:ind w:left="0" w:right="0" w:firstLine="490"/>
        <w:jc w:val="left"/>
        <w:rPr/>
      </w:pPr>
      <w:r>
        <w:rPr>
          <w:rFonts w:ascii="Times New Roman;serif" w:hAnsi="Times New Roman;serif"/>
          <w:b w:val="false"/>
          <w:color w:val="231F20"/>
          <w:sz w:val="20"/>
        </w:rPr>
        <w:t xml:space="preserve">As of </w:t>
      </w:r>
      <w:r>
        <w:rPr>
          <w:rFonts w:ascii="Times New Roman;serif" w:hAnsi="Times New Roman;serif"/>
          <w:b w:val="false"/>
          <w:color w:val="000000"/>
          <w:sz w:val="20"/>
        </w:rPr>
        <w:t>December 31, 2025</w:t>
      </w:r>
      <w:r>
        <w:rPr>
          <w:rFonts w:ascii="Times New Roman;serif" w:hAnsi="Times New Roman;serif"/>
          <w:b w:val="false"/>
          <w:color w:val="231F20"/>
          <w:sz w:val="20"/>
        </w:rPr>
        <w:t xml:space="preserve">, Atlas is our sole customer with driverless vehicles integrated into their fleet. Until we have scaled our business, we expect the Atlas MSA to account for a significant and growing portion of our revenue. Although we anticipate that the Atlas MSA will generate revenue for us through the initial order of 100 Kodiak Driver-powered, Atlas-owned trucks and beyond, we may fail to satisfy our obligations under the Atlas MSA, Atlas may elect not to enter into additional orders for the Kodiak Driver, and we may not otherwise realize the anticipated benefits at the time or to the degree we anticipate, or at all. The loss of all or a portion of the revenue attributable to the Atlas MSA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3"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68" w:before="0" w:after="240"/>
        <w:jc w:val="left"/>
        <w:rPr/>
      </w:pPr>
      <w:r>
        <w:rPr>
          <w:rFonts w:ascii="Times New Roman;serif" w:hAnsi="Times New Roman;serif"/>
          <w:b w:val="false"/>
          <w:color w:val="231F20"/>
          <w:sz w:val="20"/>
        </w:rPr>
        <w:t>adversely affect our business, financial condition and results of operations. Further, while Atlas is contractually obligated to deploy the Kodiak Driver on 100 Atlas-owned trucks at an agreed-upon schedule, Atlas is not required to license the Kodiak Driver in any additional trucks beyond this figure. Atlas may also license the Kodiak Driver slower than anticipated</w:t>
      </w:r>
      <w:r>
        <w:rPr>
          <w:color w:val="231F20"/>
        </w:rPr>
        <w:t xml:space="preserve"> </w:t>
      </w:r>
      <w:r>
        <w:rPr>
          <w:rFonts w:ascii="Times New Roman;serif" w:hAnsi="Times New Roman;serif"/>
          <w:b w:val="false"/>
          <w:color w:val="231F20"/>
          <w:sz w:val="20"/>
        </w:rPr>
        <w:t>or seek a delay or defer delivery of Kodiak Driver-powered trucks, which may be exacerbated by the volatility and swings in productivity that have historically affected oil and gas industry participants.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Atlas has certain contractual rights in the MSA that could prevent, in limited circumstances, the Kodiak Driver being licensed to its competitors both performing transportation services and geographic locations where Atlas operates. Furthermore, both we and Atlas have the ability to terminate the Atlas MSA under certain circumstances. If Atlas terminates the Atlas MSA or does not elect to license more than 100 Kodiak Drivers, our business, financial condition, results of operations, and prospects may be adversely affected.</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AV technology presents the risk of significant injury, including fatalities. Any incidents with our technologies could cause us to be subject to product liability claims that may result in significant direct or indirect costs and could adversely affect our brand image in our target markets, all of which may adversely affect our business, financial condition and results of operations.</w:t>
      </w:r>
    </w:p>
    <w:p>
      <w:pPr>
        <w:pStyle w:val="TextBody"/>
        <w:bidi w:val="0"/>
        <w:spacing w:lineRule="auto" w:line="288" w:before="133"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AV technology presents the risk of significant injury, including fatalities. We may be subject to claims if our technology is involved in a crash and people are injured or allege to be injured or our technology causes or is alleged to have caused property damage. The occurrence of any errors or defects in our products may make us liable for damages and legal claims. In addition, we may incur significant costs to correct such issues, potentially including product recalls. Any negative publicity related to the perceived quality of our technology may affect our brand image, customer demand, and regulator and public trust. Also, liability claims may result in litigation, including class actions, the occurrence of which may be costly, lengthy and distracting and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Any product recall or material incident in the future may result in adverse publicity, damage our brand and reputation and may adversely affect our business, financial condition and results of operations. In the future, we may voluntarily or involuntarily initiate a recall if any vehicles powered by our AV technology prove to be defective or non-compliant with applicable FMVSSs. Such recalls involve significant expense and diversion of management attention and other resources, which may adversely affect our brand image in our target markets, as well as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Once we scale our commercial operations, we may be required to obtain specialized insurance, which may not be available to the capacity or on the terms that we require to achieve the economics we expect. Further, any insurance that we carry may not be sufficient or it may not apply to all situations. Similarly, our customers and partners may be subjected to claims as a result of such accidents and bring legal claims against us. Any of these events may adversely affect our brand, relationships with customers and partners,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The Kodiak Driver may not function as intended due to flaws or errors in our software, hardware, and systems, product defects, or due to human error, which may adversely affect our business.</w:t>
      </w:r>
    </w:p>
    <w:p>
      <w:pPr>
        <w:pStyle w:val="TextBody"/>
        <w:bidi w:val="0"/>
        <w:spacing w:lineRule="auto" w:line="288" w:before="122"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AV technology is highly technical and complex and may contain undetected flaws, errors or vulnerabilities that may adversely affect our business, particularly to the extent such flaws, errors or vulnerabilities are not detected and remedied quickly. Certain errors or defects in our solutions may only be discovered after they have been tested, commercialized, and deployed. We have from time to time found defects and errors in our software and hardware, internal systems, manual processes, and technical integrations with third-party systems, including as a result of updates to our software, hardware and systems. Additionally, new errors or vulnerabilities may be introduced in the future. In connection with any such defects or errors, we may also face government inquiries or investigations, recalls and litigation, including with respect to personal injury or property damage. As a result of such defects or errors, we may incur additional costs or expenses to remediate the issues. We rely on component and product suppliers to manufacture components incorporated into the Kodiak Driver. As a result, our control over production and distribution is limited, and it is uncertain what effect such diminished control may have on the quality of our products. If there are defects in the manufacture of our hardware components, we may face similar negative publicity, investigations, and litigation, and we may not be fully compensated by our suppliers for any financial or other liability that we suffer as a result. As our business grows in size and complexity, these risks may increase.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may also provide incremental releases of software updates and functional enhancements for our solutions, which increase the possibility of errors. The solutions we provide are designed to process complex environments and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4"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complex components, all with high data loads and fast processing speeds. Any errors, data leaks, security breaches or incidents, disruptions in services, or other performance problems with our solutions caused by external or internal actors may hurt our reputation and damage our and our customers’ businesses. Such incidents may disrupt the proper functioning of our solutions, cause errors, result in loss or unavailability of, unauthorized access to, or disclosure of, proprietary, confidential or otherwise sensitive data of us or our customers, or other destructive outcomes. Moreover, errors in our hardware or software design or manufacture may cause product safety issues. Any of the foregoing issues may lead to product recalls, result in costly and time-consuming efforts to redesign and redistribute our products, give rise to regulatory inquiries and investigations, and result in reimbursement obligations, lawsuits and other liabilities and losses, any of which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Any flaws or misuse of AV technology, whether actual or perceived, intended or inadvertent, by us or third parties, may adversely affect our business, financial condition and results of operations.</w:t>
      </w:r>
    </w:p>
    <w:p>
      <w:pPr>
        <w:pStyle w:val="TextBody"/>
        <w:bidi w:val="0"/>
        <w:spacing w:lineRule="auto" w:line="288" w:before="121"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AV technology is in the early stages of development and will continue to evolve. Similar to many innovations, AV technology presents risks and challenges. Some of those risks and challenges include potential misuse by third parties which negatively impact public confidence, violate applicable laws and regulations, or undermine safety. Such misuse may affect customer perception, public opinion, and the views of policymakers and regulators and result in decreased adoption of autonomous technology. While we have adopted a series of measures to prevent misuse of our technologies, we cannot assure you that any of our existing and future measures will be sufficient, effective, or that our technologies will not be misused or applied in a way that is inconsistent with our intention or public expectations.</w:t>
      </w:r>
    </w:p>
    <w:p>
      <w:pPr>
        <w:pStyle w:val="TextBody"/>
        <w:bidi w:val="0"/>
        <w:spacing w:lineRule="auto" w:line="288" w:before="0" w:after="240"/>
        <w:ind w:left="0" w:right="0" w:firstLine="490"/>
        <w:jc w:val="both"/>
        <w:rPr>
          <w:rFonts w:ascii="Times New Roman;serif" w:hAnsi="Times New Roman;serif"/>
          <w:b w:val="false"/>
          <w:color w:val="231F20"/>
          <w:sz w:val="20"/>
        </w:rPr>
      </w:pPr>
      <w:r>
        <w:rPr>
          <w:rFonts w:ascii="Times New Roman;serif" w:hAnsi="Times New Roman;serif"/>
          <w:b w:val="false"/>
          <w:color w:val="231F20"/>
          <w:sz w:val="20"/>
        </w:rPr>
        <w:t>Furthermore, any inappropriate or abusive usage of AV technology, whether actual or perceived, intended or inadvertent, and whether by us or by third parties, or flaws or deficiencies in AV technology, actual or perceived, in our solution or those of our competitors, may impair the general acceptance of autonomous technology by society, attract negative publicity and adversely affect our reputation, violate applicable laws and regulations. Any such misuse could subject us to legal or administrative proceedings, pressures from stockholders and/or labor organizations, and other public interest groups or heightened scrutiny by regulators. Each of the foregoing events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Unauthorized control or manipulation of systems in autonomous vehicles may cause them to operate improperly or not at all, or compromise their safety and cybersecurity, which may result in loss of confidence in us and our solutions and adversely affect our business, financial condition, and results of operations.</w:t>
      </w:r>
    </w:p>
    <w:p>
      <w:pPr>
        <w:pStyle w:val="TextBody"/>
        <w:bidi w:val="0"/>
        <w:spacing w:lineRule="auto" w:line="288" w:before="122"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There have been reports of vehicles being “hacked” to grant access to and operation of the vehicles to unauthorized persons. Kodiak Driver-powered autonomous vehicles contain complex information technology networks and systems and are designed with built-in data connectivity. We have implemented, and continue to implement, measures intended to prevent unauthorized access to the information technology networks and systems installed in such vehicles. However, hackers or unauthorized third parties may attempt to gain unauthorized access to modify, alter, or use such networks and systems to gain control of, or to change, such vehicles’ functionality and performance characteristics, or access our Operations Center or Assisted Autonomy systems, or access data stored in or generated by us or our solutions. As techniques used to obtain unauthorized access to or sabotage systems change frequently and may not be known until launched against us or our third- party service providers, there can be no assurance that we will be able to anticipate, or implement adequate measures to protect against, these attacks. Any such incidents may result in unexpected control of or changes to the vehicles’ functionality and safe operation and may result in legal claims or proceedings against us and negative publicity, which may adversely affect our brand and reputation,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have provided, and may in the future provide, certain progress and performance metrics, including the Autonomy Readiness Measure. These metrics are subject to inherent challenges in measurement; real or perceived inaccuracies in such metrics and metrics values that are below expectations could materially and adversely affect our business, prospects,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have provided, and may in the future provide, a measure of our progress toward the long-haul launch of the Kodiak Driver (the “Autonomy Readiness Measure” or “ARM”). The ARM is the weighted function of completeness of our safety case, which is an internally-derived, claims-based approach that provides a generalized structured argument to addressing safety items implicated by developing and operating self-driving technology on public roads. There are inherent challenges in calculating the ARM, including the fact that management judgment is used, including when applying weighting to individual pieces of evidence that support the claims that we are making in our safety case based on, among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5"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other things, complexity, effort required to complete, scope of the Company’s commercial launch route, as well as when evaluating the percentage complete of a particular piece of evidence. If individual pieces of evidence supporting the claims of our safety case turn out to be more complex, more challenging to complete, insufficiently comprehensive or conclusive, or more time or capital intensive than we originally anticipated, adjustments will be required to be made to our calculations of the ARM. If our ARM is not an accurate representation of our progress toward long-haul launch, or investors perceive this measure not to be accurate, or we discover material inaccuracies in the safety case or our calculations of the ARM, our reputation may be significantly harmed, the timing of the long-haul launch of the Kodiak Driver could be delayed, and our stock price could decline, any of which could materially and adversely affect our business, prospects,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addition, our internal systems and tools have a number of limitations, and our methodologies for tracking the ARM may change over time, which could result in unanticipated changes to the metrics or estimates that we publicly disclose. If the internal systems and tools we use to track these metrics are not an accurate indicator of our performance or contain other technical errors, the data we report may not be accurate. While these numbers are based on what we believe to be reasonable estimates of our metrics for the applicable period of measurement, there are inherent challenges in measuring our progress toward our long-haul launch.</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brand and reputation may be harmed by negative publicity or safety and other concerns regarding the Kodiak Driver and our company. Failure to maintain, protect and enhance our brand may limit our ability to expand or retain our customer base, which may adversely affect our business, financial condition and results of operations.</w:t>
      </w:r>
    </w:p>
    <w:p>
      <w:pPr>
        <w:pStyle w:val="TextBody"/>
        <w:bidi w:val="0"/>
        <w:spacing w:lineRule="auto" w:line="288" w:before="123"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must maintain and enhance our brand identity and reputation and increase market awareness of the Kodiak Driver and our company. The successful promotion of our brand will depend on our efforts to achieve widespread acceptance of our technology and solutions, as well as attract and retain customers. We also need to maintain our current market leadership and successfully differentiate our technology and solutions from our competitors. These efforts require substantial expenditures and management attention. We anticipate that those expenditures will increase as our market becomes more competitive, and as we expand our operations. These investments in brand promotion and thought leadership may not yield increased revenue in amounts that offset the increased expenses we incur, or at all, and may require investment of substantial management time. Our brand value and reputation also depend on our ability to provide safe, secure and trustworthy solutions, address customer needs, and protect and use our customers’ and partners’ data in a manner that meets their expectations. Any safety or security incidents or the reporting or perception that they have occurred could result in legal claims or proceedings, regulatory inquiries, investigations and other proceedings, or negative publicity, any of which could harm our reputation or our brand. Damage to our reputation and loss of brand equity may reduce demand for our solutions, cause us to lose customers, and require additional resources to rebuild our reputation and restore the value of our brand, which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From time to time, we may receive negative publicity, including negative comments on social media platforms or through traditional media about our company, our business, our directors and management, our brand, our technology and solutions, our workforce impacts, our suppliers, our customers or other business partners. This negative publicity may be the result of malicious harassment or unfair competition acts by third parties. We could become subject to government or regulatory investigation as a result of such third-party conduct. We might also be required to spend significant time and incur substantial costs to defend ourselves against such third-party conduct. We may be unable to refute the claims within a reasonable period of time, or at all. Any such negative publicity could negatively impact our brand and reputation, and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operate in a highly competitive market and some market participants have substantially greater resources. If we are unable to compete effectively, our business, financial condition and results of operations may be adversely affected.</w:t>
      </w:r>
    </w:p>
    <w:p>
      <w:pPr>
        <w:pStyle w:val="TextBody"/>
        <w:bidi w:val="0"/>
        <w:spacing w:lineRule="auto" w:line="288" w:before="123"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The markets in which we operate are highly competitive and are characterized by rapid technological change. Our future success will depend on our ability to scale our commercial operations and adoption of our solutions in a timely manner to stay ahead of existing and new competitors. Several companies, including Aurora Innovation, Nuro, Tesla, Waabi, Waymo, and Zoox, are investing heavily in building AV technology. These companies compete with us directly and indirectly by offering AV technology for the same or similar use cases. If our competitors, including those mentioned above, develop superior technology, or are perceived to have better technology, they may capture market opportunities and establish relationships with customers and partners that might otherwise have been available to us. Further, certain of our competitors have greater financial, marketing, R&amp;D, and other resources than we do, and in certain circumstances are supported by large multinational corporations. In the event that one or more of these competitors broadly commercializes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26"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123" w:after="240"/>
        <w:jc w:val="left"/>
        <w:rPr>
          <w:rFonts w:ascii="Times New Roman;serif" w:hAnsi="Times New Roman;serif"/>
          <w:b w:val="false"/>
          <w:color w:val="231F20"/>
          <w:sz w:val="20"/>
        </w:rPr>
      </w:pPr>
      <w:r>
        <w:rPr>
          <w:rFonts w:ascii="Times New Roman;serif" w:hAnsi="Times New Roman;serif"/>
          <w:b w:val="false"/>
          <w:color w:val="231F20"/>
          <w:sz w:val="20"/>
        </w:rPr>
        <w:t>their technology before or more successfully than we do, our business, financial condition and results of operations may be adversely affected.</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may experience difficulties in managing our growth and expanding our operations.</w:t>
      </w:r>
    </w:p>
    <w:p>
      <w:pPr>
        <w:pStyle w:val="TextBody"/>
        <w:bidi w:val="0"/>
        <w:spacing w:lineRule="auto" w:line="288" w:before="131"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expect to experience significant growth in the scope and nature of our operations and commercial deployments. Our ability to manage our operations and future growth will require us to continue to improve our operational, financial and management controls, compliance programs, and business processes. We are currently in the process of strengthening our compliance programs, including in relation to cybersecurity, privacy and anti-corruption. We may also need to reduce our reliance on manual operations in the areas of billing and reporting and make certain other improvements to support our complex arrangements and the rules governing revenue and expense recognition for our future operations. We may not be able to implement improvements in an efficient or timely manner. We may also discover deficiencies in existing controls, programs, systems and procedures, which may have an adverse effect on our business, financial condition and results of operations as well as the accuracy of our reporting.</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success is contingent on our ability to successfully execute our DaaS business model, including by maintaining, managing, executing, retaining, and expanding our existing customer relationships and obtaining new customers.</w:t>
      </w:r>
    </w:p>
    <w:p>
      <w:pPr>
        <w:pStyle w:val="TextBody"/>
        <w:bidi w:val="0"/>
        <w:spacing w:lineRule="auto" w:line="288" w:before="122"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DaaS business model, which we launched in December 2024 in connection with our partnership with Atlas, and our AV technology is integrated into customer vehicles. Any failure to successfully maintain, manage, execute, retain, and expand these existing customer relationships and obtain new customers operating under our DaaS model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addition, customers may be less likely to adopt our solution if they are not convinced that our business will succeed or that our operations and technology will continue in the long term. Similarly, suppliers and other third parties will be less likely to invest time and resources in developing business relationships with us if they are not convinced that our business will succeed. Accordingly, in order to build and maintain our business, we must maintain confidence among partners, customers, suppliers, and other parties in our solution, long-term financial viability and business prospects. Maintaining such confidence may be particularly complicated by certain factors including those that are largely outside of our control. Such factors include our limited operating history, lack of customer familiarity with our technology, any delays in scaling deployments, delivery and service operations to meet demand, competition and uncertainty regarding the future of AVs compared with market expectations.</w:t>
      </w:r>
    </w:p>
    <w:p>
      <w:pPr>
        <w:pStyle w:val="TextBody"/>
        <w:bidi w:val="0"/>
        <w:spacing w:lineRule="auto" w:line="288" w:before="73"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For our DaaS business model to be successful, we will need to enter into additional long-term contracts and commercial arrangements on acceptable terms with new and existing customers. In the event we are not able to enter into such contracts, we may not be able to implement our DaaS business model in the timeframe anticipated, or at all. This could have an adverse effect on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inability to plan and manage our costs may adversely affect our business, financial condition, and results of operations.</w:t>
      </w:r>
    </w:p>
    <w:p>
      <w:pPr>
        <w:pStyle w:val="TextBody"/>
        <w:bidi w:val="0"/>
        <w:spacing w:lineRule="auto" w:line="288" w:before="145"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As we grow, we expect our expenses to increase. In order to become a profitable business, we must continuously push initiatives to optimize supporting cost components such as autonomous and truck systems maintenance, cloud storage, telecommunications and satellite data feeds, facilities, operations and personnel costs. In addition, we must manage hardware costs by engineering cost-effective designs for our platform components, achieve adequate scale, manage tariffs, and finalize hardware specifications while enabling continued software improvements. Planning for and managing costs will require significant coordination with our suppliers, partners, and customers. We may not adequately plan for or achieve adequate cost management as expected or at all, which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Recent and further changes in the tariff and trade policies of the United States or of other countries could increase manufacturing costs, decrease demand for our solution, disrupt supply chains, or otherwise adversely affect our business and financial condition.</w:t>
      </w:r>
    </w:p>
    <w:p>
      <w:pPr>
        <w:pStyle w:val="TextBody"/>
        <w:bidi w:val="0"/>
        <w:spacing w:lineRule="auto" w:line="26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There is currently significant uncertainty about the future relationship between the United States and its trading partners with respect to trade policies, tariffs, and similar policies affecting cross-border operations. The U.S. Government has made and continues to make significant additional changes in U.S. trade policy, specifically tariffs, and may continue to take future actions that could negatively impact our business, including escalating tariffs on the import of goods from most U.S. trading partners. For example, since February 2025, the United States has imposed additional 10-35% fentanyl-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27"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68" w:before="0" w:after="240"/>
        <w:jc w:val="left"/>
        <w:rPr/>
      </w:pPr>
      <w:r>
        <w:rPr>
          <w:rFonts w:ascii="Times New Roman;serif" w:hAnsi="Times New Roman;serif"/>
          <w:b w:val="false"/>
          <w:color w:val="231F20"/>
          <w:sz w:val="20"/>
        </w:rPr>
        <w:t xml:space="preserve">related tariffs on certain goods from China, </w:t>
      </w:r>
      <w:r>
        <w:rPr>
          <w:rFonts w:ascii="Times New Roman;serif" w:hAnsi="Times New Roman;serif"/>
          <w:b w:val="false"/>
          <w:color w:val="000000"/>
          <w:sz w:val="20"/>
        </w:rPr>
        <w:t>Canada, and Mexico with exceptions for items qualifying for duty-free treatment under the U.S.-Mexico-Canada Agreement (“USMCA”), and additional reciprocal tariffs on China (currently 10%).</w:t>
      </w:r>
      <w:r>
        <w:rPr>
          <w:color w:val="231F20"/>
        </w:rPr>
        <w:t xml:space="preserve"> </w:t>
      </w:r>
      <w:r>
        <w:rPr>
          <w:rFonts w:ascii="Times New Roman;serif" w:hAnsi="Times New Roman;serif"/>
          <w:b w:val="false"/>
          <w:color w:val="231F20"/>
          <w:sz w:val="20"/>
        </w:rPr>
        <w:t xml:space="preserve">The U.S. Government has also implemented Section 232 tariffs on various </w:t>
      </w:r>
      <w:r>
        <w:rPr>
          <w:rFonts w:ascii="Times New Roman;serif" w:hAnsi="Times New Roman;serif"/>
          <w:b w:val="false"/>
          <w:color w:val="000000"/>
          <w:sz w:val="20"/>
        </w:rPr>
        <w:t>items</w:t>
      </w:r>
      <w:r>
        <w:rPr>
          <w:color w:val="231F20"/>
        </w:rPr>
        <w:t xml:space="preserve"> </w:t>
      </w:r>
      <w:r>
        <w:rPr>
          <w:rFonts w:ascii="Times New Roman;serif" w:hAnsi="Times New Roman;serif"/>
          <w:b w:val="false"/>
          <w:color w:val="231F20"/>
          <w:sz w:val="20"/>
        </w:rPr>
        <w:t>based on a finding that certain imports threaten to impair U.S. national security</w:t>
      </w:r>
      <w:r>
        <w:rPr>
          <w:rFonts w:ascii="Times New Roman;serif" w:hAnsi="Times New Roman;serif"/>
          <w:b w:val="false"/>
          <w:color w:val="000000"/>
          <w:sz w:val="20"/>
        </w:rPr>
        <w:t xml:space="preserve">, including but not limited to certain articles of steel and aluminum (currently 50%); passenger vehicles, trucks, and automotive components (currently 25%); and articles of copper (currently 50%). </w:t>
      </w:r>
      <w:r>
        <w:rPr>
          <w:rFonts w:ascii="Times New Roman;serif" w:hAnsi="Times New Roman;serif"/>
          <w:b w:val="false"/>
          <w:color w:val="231F20"/>
          <w:sz w:val="20"/>
        </w:rPr>
        <w:t xml:space="preserve">In addition, the U.S. Department of Commerce has initiated Section 232 investigations into additional products, including semiconductors and related manufacturing equipment, processed critical minerals, and derivative products; when these investigations are complete, the U.S. Government may decide to levy additional tariffs on such products. </w:t>
      </w:r>
      <w:r>
        <w:rPr>
          <w:rFonts w:ascii="Times New Roman;serif" w:hAnsi="Times New Roman;serif"/>
          <w:b w:val="false"/>
          <w:color w:val="000000"/>
          <w:sz w:val="20"/>
        </w:rPr>
        <w:t xml:space="preserve">The U.S. Government has also imposed, increased, or maintained Section 301 tariffs of 7.5%-100% on certain commodities from certain U.S. trading partners, most prominently China and Brazil. </w:t>
      </w:r>
      <w:r>
        <w:rPr>
          <w:rFonts w:ascii="Times New Roman;serif" w:hAnsi="Times New Roman;serif"/>
          <w:b w:val="false"/>
          <w:color w:val="231F20"/>
          <w:sz w:val="20"/>
        </w:rPr>
        <w:t xml:space="preserve">Since April 2025, the U.S. Government has also imposed additional reciprocal tariffs of between 10%-125% on imports from most U.S. trading partners, with certain products exempt from these reciprocal tariff measures, including but not limited to items subject to Section 232 tariffs and certain semiconductors, computers, and other products derivative of critical minerals. However, the scope of these tariffs and exclusions is subject to change. </w:t>
      </w:r>
    </w:p>
    <w:p>
      <w:pPr>
        <w:pStyle w:val="TextBody"/>
        <w:bidi w:val="0"/>
        <w:spacing w:lineRule="auto" w:line="288" w:before="0" w:after="240"/>
        <w:ind w:left="0" w:right="0" w:firstLine="490"/>
        <w:jc w:val="left"/>
        <w:rPr/>
      </w:pPr>
      <w:r>
        <w:rPr>
          <w:rFonts w:ascii="Times New Roman;serif" w:hAnsi="Times New Roman;serif"/>
          <w:b w:val="false"/>
          <w:color w:val="231F20"/>
          <w:sz w:val="20"/>
        </w:rPr>
        <w:t>The recent changes in tariff and trade policy underscore the uncertainty regarding the future relationships between the United States and its trading partners. In response to these and other U.S. trade measures, China, Canada, and other affected countries have taken retaliatory actions to respond. Such actions include the imposition of retaliatory tariffs on imports of products of U.S. origin, the imposition of export controls on a wide array of products (including rare earth metals and other critical minerals), as well as other actions. The adoption of retaliatory actions by China prompted the United</w:t>
      </w:r>
      <w:r>
        <w:rPr>
          <w:color w:val="000000"/>
        </w:rPr>
        <w:t xml:space="preserve"> </w:t>
      </w:r>
      <w:r>
        <w:rPr>
          <w:rFonts w:ascii="Times New Roman;serif" w:hAnsi="Times New Roman;serif"/>
          <w:b w:val="false"/>
          <w:color w:val="231F20"/>
          <w:sz w:val="20"/>
        </w:rPr>
        <w:t>States to further increase its tariff measures, and continued escalation of tariffs and trade measures could result in the outbreak of a trade war. The trade and tariff policies of the United States and other countries are currently fluid and subject to further changes.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These and future changes to trade policy and tariffs could negatively impact our business. While we plan to obtain components from multiple sources whenever available and desirable, some of the components used in our hardware and technology are currently purchased from a single or limited number of suppliers. These single or limited source suppliers are located in China, the European Union and Mexico. Thus, while we will make efforts to mitigate the impacts of escalated tariffs on our supply chain, we may be unsuccessful in fully mitigating these effects, or unable to do so at reasonable cost. Recent increases in the tariffs imposed by the United States or other countries may: (i) have an uncertain effect on the manufacture of our products, including affecting the availability of our products, or of materials used in our products; (ii) affect the prices at which our products, or materials used in our products, may be obtained; (iii) result in customers delaying orders pending additional certainty in the tariff landscape; and (iv) may have other effects. Should the trade relationships between the United States and its trading partners remain strained or worsen, our business, liquidity, financial condition, and results of operations may therefore be materially and adversely affected.</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depend on the experience and expertise of our senior management team, engineers, and certain other key employees. The loss of any executive officer or key employee, or the inability to identify, recruit and retain qualified employees in a timely manner,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success depends largely upon the continued services of our executive officers, engineers, and certain other key employees. We rely on our executive officers, engineers, and key employees in the areas of business strategy, research and development, marketing, communications, sales, services, and general and administrative functions. We compete for talent with other companies, including companies that are larger and have greater resources than we do. Competition for talent in the AV and AI industries, especially in the San Francisco Bay Area, is intense and often leads to increased compensation and other personnel costs. In addition, our compensation arrangements, such as our equity award programs, may not always be successful in attracting new employees and retaining and motivating our existing employees. Our continued ability to compete effectively depends on our ability to attract substantial numbers of qualified new employees and to retain and motivate our existing employees. Also, to the extent we hire employees from competitors or other companies, we may be subject to allegations that they have been improperly solicited or divulged proprietary or other confidential information of their former employers. Any material departures of our executive management team, engineers, or key employees, may individually or in the aggregate, adversely affect our business, financial condition, and results of operations.</w:t>
      </w:r>
    </w:p>
    <w:p>
      <w:pPr>
        <w:pStyle w:val="TextBody"/>
        <w:bidi w:val="0"/>
        <w:spacing w:lineRule="auto" w:line="288" w:before="0" w:after="240"/>
        <w:ind w:left="0" w:right="0" w:firstLine="490"/>
        <w:jc w:val="both"/>
        <w:rPr>
          <w:rFonts w:ascii="Times New Roman;serif" w:hAnsi="Times New Roman;serif"/>
          <w:b w:val="false"/>
          <w:color w:val="231F20"/>
          <w:sz w:val="20"/>
        </w:rPr>
      </w:pPr>
      <w:r>
        <w:rPr>
          <w:rFonts w:ascii="Times New Roman;serif" w:hAnsi="Times New Roman;serif"/>
          <w:b w:val="false"/>
          <w:color w:val="231F20"/>
          <w:sz w:val="20"/>
        </w:rPr>
        <w:t>Furthermore, changes to our board of directors and senior management, and unfavorable publicity regarding succession planning may adversely affect our ability to attract and retain qualified personnel. We do not maintain meaningful key-person insurance for any member of our senior management team or any other key employee.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do not have employment agreements with our executive officers or other key personnel that require them to continue to work for us for any specified period. Accordingly, our executive officers and other key personnel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28"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terminate their employment with us at any time. The loss of one or more of our executive officers, engineers, or key employees may adversely affect our business, financial condition, and results of operations.</w:t>
      </w:r>
    </w:p>
    <w:p>
      <w:pPr>
        <w:pStyle w:val="TextBody"/>
        <w:bidi w:val="0"/>
        <w:spacing w:lineRule="auto" w:line="288" w:before="1" w:after="240"/>
        <w:jc w:val="left"/>
        <w:rPr>
          <w:rFonts w:ascii="Times New Roman;serif" w:hAnsi="Times New Roman;serif"/>
          <w:b/>
          <w:i/>
          <w:color w:val="231F20"/>
          <w:sz w:val="20"/>
        </w:rPr>
      </w:pPr>
      <w:r>
        <w:rPr>
          <w:rFonts w:ascii="Times New Roman;serif" w:hAnsi="Times New Roman;serif"/>
          <w:b/>
          <w:i/>
          <w:color w:val="231F20"/>
          <w:sz w:val="20"/>
        </w:rPr>
        <w:t>We rely on our third-party suppliers, OEMs, upfitters, services providers and partners, some of which are single or limited-source suppliers or providers of certain key components for, and services used in connection with, the Kodiak Driver, and are thus susceptible to supply shortages, long lead times for components, supply changes, and limitations or constraints on service provider support availability or capacity.</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rely on third-party suppliers, OEMs, upfitters, service providers and partners to design, develop, industrialize, manufacture, and supply components for the Kodiak Driver. While we plan to obtain components from multiple sources whenever available and desirable, some of the components used in our hardware and technology are currently purchased from a single or limited number of suppliers. Further, our agreement with Bosch provides for certain exclusivity rights should components reach certain quality, pricing, volume and other levels. We refer to these suppliers as our single or limited source suppliers. Some of the components we obtain from single or limited source suppliers are manufactured in China, and the pricing of these components has been and may continue to be significantly affected by tariffs.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Components from single or limited source suppliers are susceptible to supply shortages, long lead times, and changes in trade policies and other supply changes, any of which may disrupt our supply chain and may delay the scaling of our commercial operations. If we change suppliers for any components, significant delays may occur, including initial delays for software and hardware integration, engineering, and validation. Changing suppliers may also create a delay or shortage in supply and changes to manufacturing processes. These delays may adversely affect our business, financial condition, results of operations and delay the scaling of our product.</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currently rely on partners, such as Roush, for vehicle integration, or upfitting, of the Kodiak Driver and for remote monitoring and remote assistance services. Collaboration with third parties to provide these services is subject to risks that are outside of our control. As we scale our operations, we expect to increase our reliance on these third parties.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have in the past, and may in the future, experience delays in development and production when and if our suppliers do not meet agreed upon timelines or experience capacity constraints. There is also a risk of potential disputes with suppliers, OEMs, and partners which may stop or slow our ability to integrate the Kodiak Driver in customer fleets. If OEMs, suppliers or other partners determine that they will not support AV deployments or limit how AV technology can be deployed, including ODD expansion, using their components, or if we are unable to work collaboratively with such partners to integrate the Kodiak Driver with commonly used commercial trucks, our business, financial condition and results of operations may be adversely affected. In addition, we cannot guarantee that our suppliers, OEMs, or upfitting partners will not deviate from agreed-upon quality standards, which could result in delays or, if undetected by us, quality issues that may adversely affect our brand and reputation, business, prospects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may be unable to enter into agreements with suppliers, OEMs, or upfitting partners on terms and conditions acceptable to us. As a result, we may need to contract with other third parties or significantly add to our own production capacity. While we believe that we could establish alternate supply or service partner relationships, we may be unable to do so in the short term, or at all, at prices or quality levels and/or on terms that are favorable to us. Accordingly, we may experience significant delays while re-engineering our system to accept replacement parts. We may not be able to engage other third parties or establish or expand our own production capacity to meet our needs on acceptable terms, or at all. The expense and time required to adequately complete any transition may be greater than anticipated. Any of the foregoing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are subject to cybersecurity risks related to our operational systems, security systems, infrastructure, integrated software and partners’ and customers’ data processed by us or third-party vendors. Any material failure, security breach or other cyber incidents may prevent us from effectively operating our business, and could result in investigations, litigation, or penalties, any of which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are at risk for breaches or other cyber incidents of operational systems, including business, financial, accounting, product development, data processing or production processes, owned by us or our third-party vendors or suppliers; facility security systems, owned by us, our customers, or our third-party vendors or suppliers; in-product technology owned by us or our third-party vendors or suppliers; our integrated software or artificial intelligence; and partner, customer, or driver data that we process or our third-party vendors or suppliers process on our behalf. Any such cyber incident may materially disrupt operational systems; result in loss of intellectual property, trade secrets or other proprietary or competitively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29"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sensitive information; compromise certain information of partners, customers, employees, suppliers, drivers or others; jeopardize the security of our facilities; or affect the performance of the Kodiak Driver. A cyber incident may be caused by disasters, insiders, through inadvertence or with malicious intent, or malicious third parties using sophisticated, targeted methods to circumvent firewalls, encryption and other security defenses, including hacking, fraud, trickery or other forms of deception. The techniques used by cyber attackers change frequently and may be difficult to detect for long periods of time. Although we maintain and continue to develop measures designed to protect us against security breaches and other cyber incidents, such measures require frequent updates and improvements. We cannot guarantee that such measures will be adequate to detect, prevent or mitigate cyber incidents. The implementation, maintenance, segregation and improvement of systems and measures designed to prevent cyber incidents requires significant management time, support and cost.</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Moreover, there are inherent risks associated with developing, improving, expanding and updating current measures, including the disruption of our data management, procurement, production, finance, supply chain and sales and service processes. These risks may affect our ability to manage our data, procure parts or supplies or produce, sell, deliver and service our solutions, adequately protect our intellectual property or achieve and maintain compliance with, or realize available benefits under, applicable laws, regulations and contracts. We cannot be sure that the measures upon which we rely, including those of our customers, third-party vendors or suppliers, will be effectively implemented, maintained or expanded as planned. If we do not successfully implement, maintain or expand these systems as planned, our operations may be disrupted, our ability to accurately and timely report our financial results may be impaired, and deficiencies may arise in our internal control over financial reporting, which may impact our ability to certify our financial results. Moreover, our proprietary information or intellectual property may be compromised or misappropriated, or data (including personal information) could be exfiltrated or improperly used. Any material failure, security breach or other cyber incident may prevent us from effectively operating our business, cause us to lose competitive advantages, and subject us to investigations, litigation, or penalties, any of which may adversely affect our business, financial condition, and results of operations. If these systems do not operate as we expect them to, we may be required to expend significant resources to make corrections or find alternative sources for performing these functions. In addition, our cyber insurance coverage may not be sufficient to cover all the losses we may experience as a result of a cyber incident.</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Interruptions, outages, or failures of information technology and communications infrastructure and systems that we rely upon may adversely affect our business, financial condition, and results of operations.</w:t>
      </w:r>
    </w:p>
    <w:p>
      <w:pPr>
        <w:pStyle w:val="TextBody"/>
        <w:bidi w:val="0"/>
        <w:spacing w:lineRule="auto" w:line="288" w:before="0" w:after="36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currently rely on a variety of information technology and communications infrastructure and related systems, including cloud computing, cloud storage and telecom and satellite data feeds. For example, we use Amazon Web Services (“AWS”), which had a material outage in October 2025, to host portions of our technology and support our technology development. The availability and effectiveness of our services depend on the continued operation of AWS, and other third- party information technology and communications systems. Our systems, and those of our third-party service providers, including AWS, are vulnerable to damage, interruption, or any other compromise as the result of, among others, physical theft, fire, terrorist attacks, natural disasters such as earthquakes, floods, power losses or shortages, war, telecommunications and satellite communication failures, viruses, denial or degradation of service attacks, ransomware, social engineering schemes, insider theft or misuse or other attempts to harm our systems. We use reputable third-party service providers or vendors to process a significant portion of our data. However, these providers are also vulnerable to harms similar to those that may damage our systems, including sabotage and cyberattacks, which may cause potential disruptions to our business, or unauthorized access to or use of our data, including personal information. Because our technology requires significant processing power, it may become increasingly difficult to maintain and improve our performance, especially during peak usage times, as we expand the use of the Kodiak Driver. Some of our systems may not be fully redundant, and our disaster recovery planning cannot account for all eventualities. Any problems with our communications, infrastructure, third-party cloud hosting providers or similar systems may result in lengthy interruptions to our business, adversely affecting our business, financial condition and results of operations.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the Government Contracts</w:t>
      </w:r>
    </w:p>
    <w:p>
      <w:pPr>
        <w:pStyle w:val="TextBody"/>
        <w:bidi w:val="0"/>
        <w:spacing w:lineRule="auto" w:line="288" w:before="0" w:after="240"/>
        <w:jc w:val="both"/>
        <w:rPr>
          <w:rFonts w:ascii="Times New Roman;serif" w:hAnsi="Times New Roman;serif"/>
          <w:b/>
          <w:i/>
          <w:color w:val="231F20"/>
          <w:sz w:val="20"/>
        </w:rPr>
      </w:pPr>
      <w:r>
        <w:rPr>
          <w:rFonts w:ascii="Times New Roman;serif" w:hAnsi="Times New Roman;serif"/>
          <w:b/>
          <w:i/>
          <w:color w:val="231F20"/>
          <w:sz w:val="20"/>
        </w:rPr>
        <w:t>A significant portion of our historical revenue has come from our contracts with the DoW, and our failure to receive and maintain government contracts or changes in the contracting or fiscal policies of the U.S. Government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have historically derived a significant portion of our revenue from contracts with U.S. Government agencies, in particular contracts with the U.S. Army for the automation of ground vehicles. Sales to such government agencies are subject to a number of challenges and risks. Selling to government agencies can be highly competitive, expensive, and time-consuming, often requiring significant upfront time and expense without any assurance that these efforts will generate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0"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a sale. We also must comply with laws and regulations relating to the formation, administration, and performance of contracts, and contract clauses including those arising from law, regulations and executive orders, all of which impose obligations and provide U.S. Government customers rights, many of which are not typically found in commercial contracts.</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Accordingly, our business, financial condition and results of operations may be adversely affected by certain events or activities, including:</w:t>
      </w:r>
    </w:p>
    <w:p>
      <w:pPr>
        <w:pStyle w:val="TextBody"/>
        <w:bidi w:val="0"/>
        <w:spacing w:lineRule="auto" w:line="288" w:before="0" w:after="120"/>
        <w:ind w:left="0" w:right="0" w:hanging="360"/>
        <w:jc w:val="left"/>
        <w:rPr/>
      </w:pPr>
      <w:r>
        <w:rPr>
          <w:color w:val="231F20"/>
        </w:rPr>
        <w:t>•</w:t>
      </w:r>
      <w:r>
        <w:rPr>
          <w:color w:val="000000"/>
        </w:rPr>
        <w:t>    </w:t>
      </w:r>
      <w:r>
        <w:rPr>
          <w:rFonts w:ascii="Times New Roman;serif" w:hAnsi="Times New Roman;serif"/>
          <w:b w:val="false"/>
          <w:color w:val="000000"/>
          <w:sz w:val="20"/>
        </w:rPr>
        <w:t>changes in fiscal or contracting policies or decreases in available government funding, particularly in the event of a federal government shutdown;</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government programs, funding priorities, and requirements;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the political environment, including before or after a change to the leadership within the government administration, and any resulting uncertainty or changes in policy or priorities and resultant funding;</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government administration and national and international priorities, including developments in the geopolitical environment;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the government’s attitude towards the capabilities that we offer, especially in the areas of national defense;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the government’s attitude towards us as a company or our solutions as viable or acceptable autonomy solutions;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appeals, disputes, or litigation relating to government procurement, including bid protests by unsuccessful bidders on potential or actual awards of contracts to us by the government;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adoption of new laws or regulations or changes to existing laws or regulations;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budgetary constraints, including automatic reductions as a result of “sequestration” or similar measures and constraints imposed by any lapses in appropriations for the federal government or certain of its departments and agencies;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influence by, or competition from, third parties with respect to pending, new, or existing contracts with government customers;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potential delays or changes in the government appropriations or procurement processes, including as a result of events such as war, incidents of terrorism, natural disasters, and public health concerns or epidemics;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increased or unexpected costs or unanticipated delays caused by other factors outside of our control, such as supply chain constraints; and</w:t>
      </w:r>
    </w:p>
    <w:p>
      <w:pPr>
        <w:pStyle w:val="TextBody"/>
        <w:bidi w:val="0"/>
        <w:spacing w:lineRule="auto" w:line="288" w:before="0" w:after="240"/>
        <w:ind w:left="0" w:right="0" w:hanging="360"/>
        <w:jc w:val="left"/>
        <w:rPr>
          <w:color w:val="000000"/>
        </w:rPr>
      </w:pPr>
      <w:r>
        <w:rPr>
          <w:color w:val="000000"/>
        </w:rPr>
        <w:t>•    </w:t>
      </w:r>
      <w:r>
        <w:rPr>
          <w:rFonts w:ascii="Times New Roman;serif" w:hAnsi="Times New Roman;serif"/>
          <w:b w:val="false"/>
          <w:color w:val="000000"/>
          <w:sz w:val="20"/>
        </w:rPr>
        <w:t>government exercises of contractual rights, including the right to terminate contracts when in the government’s interest; exercise contract options; the right to reduce orders under or otherwise modify contracts; cancel multi-year contracts and related orders if funds for contract performance for any subsequent year become unavailable; and 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Any such event, activity, or action, among others, may cause governmental agencies to delay or refrain from purchasing our solutions in the future, reduce the size or payment amounts of purchases from existing or new government customers, or otherwise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addition, we may be required to compete for contracts in a competitive bidding process. We may compete directly with other suppliers or align with a prime or subcontractor competing for a contract. We may not be awarded the contract if the pricing or product offering is not competitive, either at our level or the prime or subcontractor level. In addition, in the event we are awarded a contract, we are subject to protests by losing bidders of contract awards that can result in the reopening of the bidding process, re-evaluation and new award of the contract to another bidder. In addition, we may be subject to multiple rebid requirements over the life of a program in order to continue to participate in such program, which can result in the loss of the program or significantly reduce our revenue or margin from the program. Further, the U.S. Government or a government contractor customer could require us to relinquish data rights to a product in connection with performing work on a government contract, which could lead to a loss of valuable technology and intellectual property in order to participate in a government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1"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Significant costs may be incurred to ensure compliance with requirements unique to government contracts. Uncertainty exists with regard to proposed and future changes to government contract regulatory requirements, and such changes could subject our company to increased risks and costs. We may be subject to the Federal Acquisition Regulation (“FAR”) and agency supplemental acquisition regulations including the Defense Federal Acquisition Regulation Supplement (“DFARS”) as well as other contractual terms that subject us to federal cybersecurity requirements. U.S. Government customers contractually require us to notify them of security breaches or other cyber incidents. If an actual or perceived breach of security measures, unauthorized access to our system or the systems of the third-party vendors that we rely upon, or any other cybersecurity threat occurs, we may face direct or indirect liability, costs, damages, or contract termination. In addition, our reputation in the industry and with current and potential customers may be compromised, our ability to attract new customers could be negatively affected, and our business, financial condition, and results of operations could be materially and adversely affected. Amendments to DoW cybersecurity requirements, such as through amendments to the FAR or DFARS, may increase our costs or delay the award of contracts if we are unable to certify that we satisfy such cybersecurity requirements.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Certain of our customer contracts may be terminated by the customer at any time for convenience and/or may contain other provisions permitting the customer to discontinue contract performance, and if terminated contracts are not replaced, our results of operations may differ materially and adversely from those anticipated. In addition, our contracts with government customers often contain provisions with additional rights and remedies favorable to such customers that are not typically found in commercial contracts.</w:t>
      </w:r>
    </w:p>
    <w:p>
      <w:pPr>
        <w:pStyle w:val="TextBody"/>
        <w:bidi w:val="0"/>
        <w:spacing w:lineRule="auto" w:line="288" w:before="133"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All or substantially all of our contracts, including our government contracts, contain termination for convenience provisions. Customers that terminate such contracts may also be entitled to a pro rata refund of the amount of the customer deposit for the period of time remaining in the contract term after the applicable termination notice period expires. Government contracts often contain provisions and are subject to laws and regulations that provide government customers with additional rights and remedies not typically found in commercial contracts. These rights and remedies allow government customers, among other things, to:</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terminate existing contracts for convenience with short notice;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reduce orders under or otherwise modify contracts;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for some contracts, (i) demand a refund, make a forward price adjustment, or terminate a contract for default if a contractor provided inaccurate or incomplete data during the contract negotiation process and (ii) reduce the contract price under triggering circumstances, including the revision of price lists or other documents upon which the contract award was predicated;</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cancel multi-year contracts and related orders if funds for contract performance for any subsequent year become unavailable;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decline to exercise an option to renew a multi-year contract or issue task orders in connection with indefinite delivery/indefinite quantity contracts;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claim rights in solutions, systems, or technology produced by us, appropriate such work-product for their continued use without continuing to contract for our services, and disclose such work-product to third parties, including other government agencies and our competitors, which could harm our competitive position;</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subject the award of contracts to protest by competitors, which may require the contracting federal agency or department to suspend our performance pending the outcome of the protest and may also result in a requirement to resubmit offers for the contract or in the termination, reduction, or modification of the awarded contract;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suspend us from doing business with the applicable government; and</w:t>
      </w:r>
    </w:p>
    <w:p>
      <w:pPr>
        <w:pStyle w:val="TextBody"/>
        <w:bidi w:val="0"/>
        <w:spacing w:lineRule="auto" w:line="288" w:before="0" w:after="240"/>
        <w:ind w:left="0" w:right="0" w:hanging="360"/>
        <w:jc w:val="left"/>
        <w:rPr>
          <w:color w:val="000000"/>
        </w:rPr>
      </w:pPr>
      <w:r>
        <w:rPr>
          <w:color w:val="000000"/>
        </w:rPr>
        <w:t>•    </w:t>
      </w:r>
      <w:r>
        <w:rPr>
          <w:rFonts w:ascii="Times New Roman;serif" w:hAnsi="Times New Roman;serif"/>
          <w:b w:val="false"/>
          <w:color w:val="000000"/>
          <w:sz w:val="20"/>
        </w:rPr>
        <w:t>control or prohibit the export of our services.</w:t>
      </w:r>
    </w:p>
    <w:p>
      <w:pPr>
        <w:pStyle w:val="TextBody"/>
        <w:bidi w:val="0"/>
        <w:spacing w:lineRule="auto" w:line="288" w:before="1"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If a customer were to unexpectedly terminate, cancel, or decline to exercise an option to renew with respect to one or more of our significant contracts, or if a government were to suspend or debar us from doing business with such government, our business, financial condition, and results of operations would be materially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2"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Failure to comply with laws, regulations, or contractual provisions applicable to our business could cause us to lose U.S. Government customers or our ability to contract with the United States and other governments.</w:t>
      </w:r>
    </w:p>
    <w:p>
      <w:pPr>
        <w:pStyle w:val="TextBody"/>
        <w:bidi w:val="0"/>
        <w:spacing w:lineRule="auto" w:line="288" w:before="122" w:after="36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As a government contractor, we must comply with laws, regulations, and contractual provisions relating to the formation, administration, and performance of government contracts and inclusion on government contract vehicles, which affect how we and our partners do business with government agencies. As a result of actual or perceived noncompliance with government contracting laws, regulations, or contractual provisions, we may be subject to audits and internal investigations. This may prove costly to our business financially, divert management time, tarnish our brand among customers and potential customers, affect our ability to hire, attract and maintain qualified employees, or limit our ability to continue selling our platforms and services to our government customers. These laws and regulations may impose other added costs on our business. Failure to comply with these or other applicable regulations and requirements, including non-compliance in the past, could subject us to investigations, administrative proceedings, sanctions, enforcement actions, disgorgement of profits, claims for damages, civil and criminal penalties, termination of contracts and suspension or debarment from government contracting for a period of time with government agencies. Any negative outcome from such inquiries or investigations or failure to prevail in any possible civil or criminal litigation, damages, penalties, disruption, or limitation in our ability to do business with a government could adversely affect our business, financial condition and results of operations.</w:t>
      </w:r>
    </w:p>
    <w:p>
      <w:pPr>
        <w:pStyle w:val="TextBody"/>
        <w:bidi w:val="0"/>
        <w:spacing w:lineRule="auto" w:line="288" w:before="0" w:after="240"/>
        <w:jc w:val="left"/>
        <w:rPr>
          <w:rFonts w:ascii="Times New Roman;serif" w:hAnsi="Times New Roman;serif"/>
          <w:b/>
          <w:color w:val="231F20"/>
          <w:sz w:val="20"/>
        </w:rPr>
      </w:pPr>
      <w:r>
        <w:rPr>
          <w:rFonts w:ascii="Times New Roman;serif" w:hAnsi="Times New Roman;serif"/>
          <w:b/>
          <w:color w:val="231F20"/>
          <w:sz w:val="20"/>
        </w:rPr>
        <w:t>Risks Related to Our Intellectual Property Rights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may not be able to adequately establish, maintain, protect, and enforce our technology and intellectual property rights or prevent others from unauthorized use of our technology and intellectual property rights, which may adversely affect our business, financial condition, and results of operations. Our efforts to protect and enforce our intellectual property rights and prevent third parties from violating our intellectual property rights may be costly and time-consuming, or less effective than anticipated.</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technology and intellectual property rights are a valuable asset of our business. Our success depends in part on our ability to protect our core technology and intellectual property rights. Failure to adequately protect our technology or intellectual property rights may result in the loss of our ability to maintain a competitive advantage. Even if we are able to protect our technology and intellectual property rights, our competitors may be able to offer similar products and services without infringing our rights. We rely on a combination of patents, trademarks, copyrights and trade secrets, in addition to employee and third-party nondisclosure agreements, intellectual property assignment agreements, intellectual property licenses, and other contractual rights, to establish, maintain, protect and enforce our rights in our technology and intellectual property rights, including trade secrets and other confidential information. Intellectual property laws and our procedures and restrictions provide only limited protection. Any of our intellectual property rights may be challenged, invalidated, circumvented, infringed or misappropriated. If we fail to protect our intellectual property rights adequately, we may lose an important advantage in the markets in which we compete. While we take measures to protect our technology and intellectual property rights, such efforts may be insufficient or ineffective, and any of our intellectual property rights may be challenged, which may result in them being narrowed in scope or declared invalid or unenforceable. Other parties may also independently develop technologies that are substantially similar or superior to ours, and we may not be able to prohibit uses of such technologies. We may also be forced to bring claims against third parties, or defend claims that they may bring against us, to determine the ownership or other rights in technology or intellectual property rights we regard as our own. The measures we take to protect our technology and intellectual property rights from unauthorized use by others may not be effective and there can be no assurance that our intellectual property rights or enforcement efforts will be sufficient to protect against others offering products, services or technologies that are substantially similar or superior to ours or that compete with our business.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To the extent that our employees, consultants, contractors, advisors and other third parties use intellectual property owned by others in their work for us, disputes may arise as to the rights in related or resulting know-how and inventions. While we seek to protect our rights in such know-how and inventions, the measures we take may not be sufficient. Costly and time-consuming litigation may be necessary to enforce and determine the scope of our proprietary rights, and failure to obtain or maintain protection for our know-how and inventions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New regulations related to AI tools and the effects of such tools on the protectability of intellectual property are still being developed. Regulations may limit whether AI may generate or create enforceable intellectual property rights when AI tools are used. The use of AI tools by competitors may make identification of infringement of our intellectual property more difficult to detect.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33"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may in the future be involved in litigation to enforce our intellectual property rights and to protect our trade secrets. Our efforts to enforce our intellectual property rights or trade secrets may be met with defenses, counterclaims and countersuits, including challenges on the validity and enforceability of our intellectual property. Any litigation initiated by us concerning the violation by third parties of our intellectual property rights is likely to be expensive and time-consuming and is likely to be distracting to management. Any such litigation could lead to the invalidation of, or render unenforceable, our intellectual property rights, or may otherwise have negative consequences for us. Further, detecting unauthorized use of our technology or intellectual property rights may be difficult, expensive, and time consuming, and we may not be able to identify and seek to prevent such uses. Our inability to protect our proprietary technology against unauthorized copying or use, as well as any costly litigation or diversion of our management’s attention and resources, may delay the introduction and implementation of new technologies. This could result in us being required to substitute inferior or more costly technologies into the Kodiak Driver, or injure our reputation and the goodwill associated with our brand and business operations. Moreover, in certain foreign countries where the intellectual property laws may not be as protective as those in the United States and where mechanisms for enforcement of intellectual property rights may be weak, we may be unable to stop others from infringing or misappropriating our intellectual property rights. If we fail to meaningfully establish, maintain, protect and enforce our intellectual property and proprietary rights, our business, financial condition and results of operations may be adversely affected.</w:t>
      </w:r>
    </w:p>
    <w:p>
      <w:pPr>
        <w:pStyle w:val="TextBody"/>
        <w:bidi w:val="0"/>
        <w:spacing w:lineRule="auto" w:line="288" w:before="0" w:after="240"/>
        <w:ind w:left="0" w:right="0" w:firstLine="490"/>
        <w:jc w:val="left"/>
        <w:rPr/>
      </w:pPr>
      <w:r>
        <w:rPr>
          <w:rFonts w:ascii="Times New Roman;serif" w:hAnsi="Times New Roman;serif"/>
          <w:b w:val="false"/>
          <w:color w:val="231F20"/>
          <w:sz w:val="20"/>
        </w:rPr>
        <w:t xml:space="preserve">We believe that our patents are fundamental to our solutions in the area of AV technology. Unauthorized parties may attempt to copy or reverse engineer our technology or certain aspects of our solutions that we consider proprietary. </w:t>
      </w:r>
      <w:r>
        <w:rPr>
          <w:rFonts w:ascii="Times New Roman;serif" w:hAnsi="Times New Roman;serif"/>
          <w:b w:val="false"/>
          <w:color w:val="000000"/>
          <w:sz w:val="20"/>
        </w:rPr>
        <w:t>AI tools may make it easier for unauthorized parties to create copies of or reverse engineer our technologies.</w:t>
      </w:r>
      <w:r>
        <w:rPr>
          <w:color w:val="008080"/>
        </w:rPr>
        <w:t xml:space="preserve"> </w:t>
      </w:r>
      <w:r>
        <w:rPr>
          <w:rFonts w:ascii="Times New Roman;serif" w:hAnsi="Times New Roman;serif"/>
          <w:b w:val="false"/>
          <w:color w:val="231F20"/>
          <w:sz w:val="20"/>
        </w:rPr>
        <w:t>Litigation may be necessary in the future to enforce or defend our patents, to prevent unauthorized parties from copying or reverse engineering our solutions, to determine the validity and scope of the proprietary rights of others or to block the importation of infringing products into the United States. Initiation of any action related to patents may have multi-faceted responses, including defenses and counterclaims in the initiated action, invalidity actions in other governmental agencies, and other actions in other jurisdictions, possibly internationally. Such defenses could result in the invalidation or narrowing of our patent rights.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Whether initiated by us or a third party, any such litigation may result in substantial costs and diversion of management resources and attention. Additionally, it may force us to acquire intellectual property rights or licenses, which may involve substantial royalty or other payments and may not be available on acceptable terms, or at all. This may adversely affect our business, financial condition, and results of operations. Even if we obtain favorable outcomes in litigation, we may not be able to obtain adequate remedies, especially in the context of unauthorized parties copying or reverse engineering our solutions.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rely on licenses from third parties for technology and intellectual property rights that are critical to our business, and we may lose the rights to use such technology or intellectual property rights if those agreements are terminated or not renewed.</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rely on licenses from certain of our partners and other third parties for technology and intellectual property rights that are or may become critical to our business. Termination of our current or future license agreements may cause us to have to negotiate new or restated agreements with less favorable terms or cause us to lose our rights under the original agreements. In such event, we could also incur delays and costs associated with the procurement of licenses for substitute technology or intellectual property rights, which may not be of the same quality or effectiveness as those provided under the prior license.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the case of a loss of intellectual property rights used in the Kodiak Driver or our other proprietary systems, we may not be able to continue to integrate certain components into our solution or for our operations. We could also experience disruption to our manufacturing and procurement processes as we test and requalify any potential replacement technology. Even if we retain the licenses, the licenses may not be exclusive with respect to such component design or technologies, which may aid our competitors and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may be subject to intellectual property infringement claims, which, whether meritless or not, may be expensive and time-consuming to defend, distract management, require us to pay significant damages and limit our ability to use certain technologies, any of which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The industry in which our business operates is characterized by a large number of patents, some of which may be of questionable scope, validity or enforceability, and some of which may appear to overlap with other issued patents.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34"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result, there is a significant amount of uncertainty in the industry regarding patent protection and infringement. In recent years, there has been a significant volume of litigation globally, including in the AV industry involving patents and other intellectual property rights, including suits initiated by non-practicing entities, such as patent holding companies. Third parties have asserted, and may in the future assert, that we have infringed, misappropriated or otherwise violated their intellectual property rights. We may not be able to obtain a license on commercially reasonable terms, or at all. As we face increasing competition and as a public company, the possibility of third parties asserting claims against us relating to intellectual property rights grows. Such claims and litigation may involve one or more of our competitors seeking to use their patents and other intellectual property rights to obtain a competitive advantage. Such claims could also be initiated by patent holding companies or other adverse intellectual property rights holders who have no relevant product and service revenue. Patents, patent applications and other intellectual property rights may provide little or no deterrence to these rights holders in bringing intellectual property rights claims against us. Patent holding companies may also be advantaged in a lawsuit by limited costs, at least in part because they do not provide products or services.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There may be intellectual property rights held by others, including issued or pending patents, that cover significant aspects of our technologies or business methods. We cannot assure you that we are not infringing or violating or have not infringed or violated any third-party intellectual property rights or that we will not be held to have done so or be accused of doing so in the future. Our use of AI tools in the development of our product may introduce infringement risks that may be harder for us to detect. In addition, because patent applications can take many years to issue and are not initially published for the public to view, there may be applications now pending of which we are unaware, which may later result in issued patents that technology may infringe. Given the highly competitive nature of the space in which we operate, we expect that in the future we may receive notices that claim we or our collaborators have misappropriated or misused other parties’ intellectual property rights, particularly as the number of competitors in our market grows.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Regardless of the merits, defending ourselves against any intellectual property claims brought by third parties may be time-consuming and could result in substantial costs and a diversion of our resources. These claims and any resulting lawsuits, if resolved adversely to us, may subject us to significant liability for damages, impose temporary or permanent injunctions against our solution, technologies or business operations, or invalidate or render unenforceable our intellectual property rights. We may not be able to obtain necessary licenses on commercially reasonable terms, or at all.</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If our technology is determined to infringe a valid and enforceable patent, or if we wish to avoid potential intellectual property litigation on any alleged infringement, misappropriation or other violation of third party intellectual property rights, we may be required to do one or more of the following: (i) cease development, sales, provision or use of our solutions that incorporate, use, implement, or rely on the asserted intellectual property right; (ii) obtain a license from the owner of the asserted intellectual property right, which may be unavailable on commercially reasonable terms, or at all, or which may be non-exclusive, in which case our competitors and other third parties may obtain access to the same technologies licensed to us; (iii) pay substantial royalties or other damages; or (iv) redesign our technology or one or more aspects or systems of the Kodiak Driver to avoid any infringement or allegations thereof. These options may not always be commercially feasible. Additionally, in our ordinary course of business, we agree to indemnify our customers, partners and other commercial counterparties for claims of infringement of intellectual property rights arising out of their use of our technology, so we may face liability to our business partners or third parties for indemnification, the costs of defending the claim, or other remedies in the event that a claim subject to our indemnification obligation is made against them.</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license third-party technology or intellectual property rights. Consequently, we could face claims that our use of such in-licensed technology or exercise of such intellectual property rights infringes, misappropriates or otherwise violates the intellectual property rights of others. In such cases, we may be permitted to seek indemnification from our licensors under our agreement with the licensor. However, our rights to indemnification may be unavailable or insufficient to cover our costs and losses.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also may not be successful in attempts to redesign our technology to avoid any alleged infringement. A successful claim of infringement against us, or our failure or inability to develop and implement non-infringing technology or receive a license for the infringed intellectual property rights on acceptable terms and on a timely basis, could adversely affect our business and results of operations. Furthermore, such lawsuits, regardless of their merit or success, would likely be time-consuming and expensive to resolve and might divert management’s time and attention from our business, which may adversely affect our business, financial condition and results of operations. Also, such lawsuits, regardless of their merit or success, may harm our reputation with customers and in the industry at large.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35"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applications for patents or other intellectual property rights registration may not issue or be registered, which may adversely affect our ability to prevent others from commercially exploiting products and technologies similar to ours.</w:t>
      </w:r>
    </w:p>
    <w:p>
      <w:pPr>
        <w:pStyle w:val="TextBody"/>
        <w:bidi w:val="0"/>
        <w:spacing w:lineRule="auto" w:line="288" w:before="0" w:after="240"/>
        <w:ind w:left="0" w:right="0" w:firstLine="490"/>
        <w:jc w:val="left"/>
        <w:rPr/>
      </w:pPr>
      <w:r>
        <w:rPr>
          <w:rFonts w:ascii="Times New Roman;serif" w:hAnsi="Times New Roman;serif"/>
          <w:b w:val="false"/>
          <w:color w:val="231F20"/>
          <w:sz w:val="20"/>
        </w:rPr>
        <w:t>Registration of intellectual property rights can be an expensive and time-consuming process. This may involve both research as to the pre-existing rights of other parties and engagement with complex government procedures and documentation. It is possible that examiners, registrars, and other government authorities who oversee applications for registration of intellectual property rights would contest the validity or registrability of our intellectual property rights. Overcoming such registration challenges could require significant effort and expense.</w:t>
      </w:r>
      <w:r>
        <w:rPr>
          <w:color w:val="000000"/>
        </w:rPr>
        <w:t xml:space="preserve"> </w:t>
      </w:r>
      <w:r>
        <w:rPr>
          <w:rFonts w:ascii="Times New Roman;serif" w:hAnsi="Times New Roman;serif"/>
          <w:b w:val="false"/>
          <w:color w:val="000000"/>
          <w:sz w:val="20"/>
        </w:rPr>
        <w:t xml:space="preserve">Regulations and procedures related to the examination of patent applications related to AI technologies continue to evolve. Existing or future pending patent applications may not be drafted in a manner sufficient to meet future requirements of examination. </w:t>
      </w:r>
      <w:r>
        <w:rPr>
          <w:rFonts w:ascii="Times New Roman;serif" w:hAnsi="Times New Roman;serif"/>
          <w:b w:val="false"/>
          <w:color w:val="231F20"/>
          <w:sz w:val="20"/>
        </w:rPr>
        <w:t>If we are not able to timely obtain registrations for our intellectual property rights, this will negatively affect our ability to enforce the same against infringers, which may in turn create risks for our business as said infringers continue to operate.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cannot be certain that we are the first inventor of the subject matter to which we have filed a particular patent application, or if we are the first party to file such a patent application. If another party has filed a patent application that covers the same subject matter as the application we have submitted, we may not be entitled to the protection sought by the patent application. As a result, we cannot be certain that the patent applications that we file will issue, or that our issued patents will afford protection against competitors with similar technology. In addition, our competitors may design around our issued patents. Any unanticipated issues in the scope of the patent protection we seek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Further, changes to patent law, or the inability to enforce our patents in certain jurisdictions, may limit the scope of our patents, limit the enforceability or validity of our patents, or be limited by subject matter eligibility, in part or fully.</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Parties in various jurisdictions and/or overlapping markets may be currently using brands, logos, or trademarks that are the same as or confusingly similar to those that we currently use or intend to use. While we will endeavor to avoid the use of any brand or trademark which would cause consumer confusion, it is possible that the use of our brands or trademarks could create consumer confusion in certain markets or jurisdictions. In such an event, we may be required to modify or discontinue the use of our existing brands or trademarks in part or in whole. Any efforts to redesign or replace existing branding may be costly, disrupt customer recognition or public perception, require substantial marketing investments to rebuild brand awareness, or otherwise result in delays or disruption to the effective marketing of our solution. Any of these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patents may expire and may not be extended, our patent applications may not be granted and our patent rights may be contested, circumvented, invalidated, or their scope limited. As a result, we may not be able to prevent others from developing or exploiting competing technologies, which may adversely affect our business, prospects,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cannot be certain that we will be granted patents pursuant to our pending applications. Even if our patent applications succeed and we are issued patents in accordance with them, these patents may still be contested, circumvented or invalidated in the future. Future innovations by others may provide opportunities to design around our granted patents. In addition, the rights granted under any issued patents may not provide us with meaningful protection or competitive advantages. The claims under any patents that issue from our patent applications may not be broad enough to prevent others from developing technologies that are similar or that achieve results similar to ours. The intellectual property rights of others may also bar us and our customers and licensees from exploiting any patents that issue from our pending applications or may otherwise limit the scope of any issued patent claims.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Numerous patents and pending patent applications owned by others exist in the fields in which we have developed and are developing our technology. These patents and patent applications might have priority over our patent applications and may result in our patent applications not being issued or being subject to significant limitations in their scope. Finally, in addition to those who may claim priority, any of our existing or pending patents may also be challenged by others on the basis that they are otherwise invalid or unenforceable.</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Certain of our innovations are embodied in proprietary information that may not be patentable or subject to copyrights, trademark, trade dress or service mark protection.</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Certain of our innovations are embodied in proprietary information, such as trade secrets, know-how and confidential information, such that those innovations may not be patentable or subject to copyright, trademark, trade dress, service mark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36"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protection or other registrable intellectual property, or that we believe is best protected by means that do not require public disclosure. We generally seek to protect this proprietary information by entering into third-party confidentiality agreements and consulting services or employment agreements that contain non-disclosure and non-use provisions with our employees, consultants, contractors and other third parties. However, we may fail to enter into the necessary agreements, and even if entered into, these agreements may be breached or may otherwise fail to prevent disclosure or misappropriation of our proprietary information, may be limited as to their term and may not provide an adequate remedy in the event of unauthorized disclosure or use of proprietary information. Trade secrets or confidential information may also be willfully or unintentionally disclosed, including by employees, who may leave our company and join our competitors.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Notwithstanding contractual protections, we have limited control over the protection of our trade secrets held or used by our customers, OEMs, upfitters, suppliers and partners, and may lose future trade secret protection if any unauthorized disclosure of such information occurs. If any of our trade secrets were to be lawfully obtained by a competitor or other third party from our customers, OEMs, upfitters, suppliers and partners, we may have no right to prevent them from using that trade secret to compete with us. If any of our trade secrets were to be disclosed, whether lawfully or otherwise, to a competitor or other third party, our business, financial condition and results of operations may be adversely affected.</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While we maintain policies to prevent trade secrets or confidential information from being disclosed in an inappropriate manner to third-party controlled large language models or other artificial intelligence, breaches of these policies, or unauthorized disclosures by third parties, may result in disclosure of information to third parties and could result in loss of our trade secrets or disclosure of our trade secrets or confidential information to our competitors. In addition, our proprietary information may be independently developed by our competitors or other third parties and we would have no basis to stop such uses. Any failure to protect our trade secrets or other proprietary information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Furthermore, laws regarding trade secret rights in certain markets where we operate may afford little or no protection to our trade secrets.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also rely on physical and electronic security measures to protect our proprietary information, but we cannot provide assurance that these security measures will not be breached or provide adequate protection for our property or any proprietary information that we hold. There is a risk that third parties may obtain and improperly utilize or disclose our proprietary information to our competitive disadvantage. We may not be able to detect or prevent the unauthorized use of such information or take appropriate and timely steps to enforce our intellectual property rights.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may be subject to claims that we or our employees have wrongfully used or disclosed trade secrets or other proprietary information of our employees’ former employers, which, whether or not meritless, could be distracting to management, expensive and time-consuming to defend, and result in significant liability and harm our reputation, any of which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industry is highly competitive, specifically with respect to management, engineers and other key employees, and claims of trade secret misappropriation have been made in the past between competitors. We may be subject to claims that we or our employees have inadvertently, purposefully, or otherwise used or disclosed trade secrets or other proprietary information of an employee’s former employer. While we use reasonable efforts to advise against, and require our employees not to use any trade secrets or proprietary information from their former employers in the development of our technology and intellectual property, we cannot guarantee that our processes or requirements will be effective. Litigation may be necessary to defend against these claims, whether or not they have merit. Even if we are successful in defending against these claims, litigation may result in substantial costs and demands on management resources. If we fail in defending such claims, in addition to paying significant monetary damages, we may also lose the ability to utilize valuable intellectual property rights or retain key personnel. A loss of key personnel or their work product, or the ability to use proprietary information we regarded as our own, may hamper or prevent our ability to scale our commercial operations, which may adversely affect our business, financial condition and results of operations. In addition, if we are required to re-design or re-engineer our technology as a result of any such litigation, whether or not such litigation has merit, our business, financial condition, and results of operations may be adversely affected.</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 xml:space="preserve">Our software contains third-party open-source software components, which may expose us to information security vulnerabilities, result in failures, errors, and defects, and may not be supported now or in the future. Our failure to comply with the terms of the underlying open-source software licenses may restrict our ability to sell our products, give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37"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rise to claims for infringement or breach of contract, or require us to disclose and license certain of our proprietary source code.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software contains components that are licensed under so-called “open-source,” “free” or other similar licenses. Use and distribution of open-source software may entail greater risks than use of third-party commercial software, as open-source licensors generally do not provide support, warranties, indemnification, or other contractual protections regarding infringement claims or the quality of the code. Accordingly, we cannot assure that the authors of such open-source software will implement or push updates to address security risks or will not abandon further development and maintenance. In addition, the public availability of such software may make it easier for others to compromise, copy or reverse-engineer our technology. Many of the risks associated with the use of open-source software cannot be eliminated. If not properly addressed, these risks could negatively affect our business, our intellectual property and the security of our systems, products and services. To the extent that our systems depend upon the successful operation of the open-source software it uses, any undetected errors or defects in such open-source software may prevent the deployment or impair the functionality or security of our systems or applications, delay the introduction of new solutions, result in a failure of our systems, products or services, and injure our reputation. For example, undetected errors or defects in open-source software may render it vulnerable to breaches or cyberattacks and make our systems more vulnerable to security breaches and other cyber incidents.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Open-source software is made available to the general public on an “as-is” basis under the terms of a non-negotiable license. Open-source license terms are often ambiguous, sporadically and unpredictably enforced, and there is little legal precedent governing their interpretation. Certain open-source licenses may give rise to obligations to disclose or license our source code or other intellectual property rights if such open-source software is integrated with our proprietary software or distributed in certain ways. We currently combine our proprietary software with open-source software, but not in a manner that we believe requires the release of the source code of our material proprietary software to the public. If we combine or distribute our proprietary software with open-source software in a manner that is determined to require disclosure of our proprietary software under the terms of an open-source license, we may decide to release the source code to our proprietary software as open-source software or cease using the relevant open-source software which might be costly or otherwise difficult to replace. In addition, if the license terms for newer versions of the open-source software that we use change, we may be forced to re-design or re-engineer our software, incur additional costs or discontinue the use of certain offerings if re-designing or re-engineering may not be accomplished in a timely manner.</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Although we monitor our use of open-source software to avoid subjecting material proprietary software to unintended conditions, there is a risk that these licenses may be construed in a way that may impose unanticipated conditions or restrictions on our ability to commercialize our offerings. We may be subject to lawsuits by parties claiming ownership of what we believe to be open-source software or claiming non-compliance with the terms and conditions of an open-source license. Should that occur, we may incur significant legal costs defending ourselves against such allegations. If we were held to have breached or to have failed to fully comply with such terms and conditions, we may face infringement claims or other liability, including contractual liability, may be required to seek costly licenses from third parties to continue providing our technology, including on terms that are not economically feasible, to re-design or re-engineer our technology, or to make generally available, in source code form our proprietary code, any of which may adversely affect our business, financial condition and operating results. We cannot guarantee that we have used open-source software in a manner that will not subject us to liability or in a manner that is consistent with our current policies and procedures.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may not be able to protect our intellectual property rights globally, and changes in U.S. intellectual property law may diminish the value of our intellectual property rights in general, thereby impairing our ability to protect our products.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Decisions by the U.S. Supreme Court involving patent rights may have a significant impact on our ability to protect our technology and enforce our intellectual property rights. In addition, the extent to which intellectual property rights can be used to protect artificial intelligence, datasets, weights, and biases is not yet settled under U.S. law, and is subject to change. Any change to the treatment of intellectual property rights, or to the available scope of intellectual property rights in such technologies,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Further, the standards applied by the U.S. Patent and Trademark Office (“USPTO”) and foreign patent offices in granting patents are not always applied uniformly or predictably. For example, there is no uniform worldwide policy regarding patentable subject matter or the scope of claims allowable for business methods. As such, we do not know the degree of future protection that we will have on our technologies, products, and services. While we will endeavor to protect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our technologies, products, and services with intellectual property rights such as patents, as appropriate, the process of obtaining patents is time-consuming, expensive, and sometimes unpredictable.</w:t>
      </w:r>
    </w:p>
    <w:p>
      <w:pPr>
        <w:pStyle w:val="TextBody"/>
        <w:bidi w:val="0"/>
        <w:spacing w:lineRule="auto" w:line="288" w:before="0" w:after="240"/>
        <w:ind w:left="0" w:right="0" w:firstLine="490"/>
        <w:jc w:val="left"/>
        <w:rPr/>
      </w:pPr>
      <w:r>
        <w:rPr>
          <w:rFonts w:ascii="Times New Roman;serif" w:hAnsi="Times New Roman;serif"/>
          <w:b w:val="false"/>
          <w:color w:val="231F20"/>
          <w:sz w:val="20"/>
        </w:rPr>
        <w:t xml:space="preserve">The U.S. Supreme Court has ruled on several patent cases in recent years, such as </w:t>
      </w:r>
      <w:r>
        <w:rPr>
          <w:rFonts w:ascii="Times New Roman;serif" w:hAnsi="Times New Roman;serif"/>
          <w:b w:val="false"/>
          <w:i/>
          <w:color w:val="231F20"/>
          <w:sz w:val="20"/>
        </w:rPr>
        <w:t>Impression Products, Inc. v. Lexmark International, Inc., Association for Molecular Pathology v. Myriad Genetics, Inc., Mayo Collaborative Services v. Prometheus Laboratories, Inc</w:t>
      </w:r>
      <w:r>
        <w:rPr>
          <w:rFonts w:ascii="Times New Roman;serif" w:hAnsi="Times New Roman;serif"/>
          <w:b w:val="false"/>
          <w:color w:val="231F20"/>
          <w:sz w:val="20"/>
        </w:rPr>
        <w:t xml:space="preserve">. and </w:t>
      </w:r>
      <w:r>
        <w:rPr>
          <w:rFonts w:ascii="Times New Roman;serif" w:hAnsi="Times New Roman;serif"/>
          <w:b w:val="false"/>
          <w:i/>
          <w:color w:val="231F20"/>
          <w:sz w:val="20"/>
        </w:rPr>
        <w:t>Alice Corporation Pty. Ltd. v. CLS Bank International</w:t>
      </w:r>
      <w:r>
        <w:rPr>
          <w:rFonts w:ascii="Times New Roman;serif" w:hAnsi="Times New Roman;serif"/>
          <w:b w:val="false"/>
          <w:color w:val="231F20"/>
          <w:sz w:val="20"/>
        </w:rPr>
        <w:t xml:space="preserve">, and the Court of Appeal for the Federal Circuit has ruled on cases such as </w:t>
      </w:r>
      <w:r>
        <w:rPr>
          <w:rFonts w:ascii="Times New Roman;serif" w:hAnsi="Times New Roman;serif"/>
          <w:b w:val="false"/>
          <w:i/>
          <w:color w:val="231F20"/>
          <w:sz w:val="20"/>
        </w:rPr>
        <w:t>Recentive Analytics, Inc. v. Fox. Corp</w:t>
      </w:r>
      <w:r>
        <w:rPr>
          <w:rFonts w:ascii="Times New Roman;serif" w:hAnsi="Times New Roman;serif"/>
          <w:b w:val="false"/>
          <w:color w:val="231F20"/>
          <w:sz w:val="20"/>
        </w:rPr>
        <w:t>. In each case the courts have either narrowed the scope of patent protection available in certain circumstances or weakened the rights of patent owners in certain situations. In addition to increasing uncertainty with regard to our ability to obtain patents in the future, these rulings have created uncertainty with respect to the value of patents, once obtained. Depending on decisions by the U.S. Congress, the federal courts, and the USPTO, the laws and regulations governing patents may change in unpredictable ways, which may weaken our ability to obtain new patents or to enforce our existing patents and patents that we might obtain in the future. Actions in foreign jurisdictions may create similar problems or may create divergent issues based on uncertain or different results.</w:t>
      </w:r>
    </w:p>
    <w:p>
      <w:pPr>
        <w:pStyle w:val="TextBody"/>
        <w:bidi w:val="0"/>
        <w:spacing w:lineRule="auto" w:line="288" w:before="0" w:after="240"/>
        <w:jc w:val="left"/>
        <w:rPr>
          <w:rFonts w:ascii="Times New Roman;serif" w:hAnsi="Times New Roman;serif"/>
          <w:b/>
          <w:color w:val="231F20"/>
          <w:sz w:val="20"/>
        </w:rPr>
      </w:pPr>
      <w:r>
        <w:rPr>
          <w:rFonts w:ascii="Times New Roman;serif" w:hAnsi="Times New Roman;serif"/>
          <w:b/>
          <w:color w:val="231F20"/>
          <w:sz w:val="20"/>
        </w:rPr>
        <w:t>Risks Related to Our Legal and Regulatory Environment</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are subject to substantial regulations, including regulations governing motor carriers and autonomous vehicles, and unfavorable changes to, whether initiated by regulators or through the pressure of organized labor, or failure by us to comply with, these regulations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Currently, there are no FMVSSs or Federal Motor Carrier Safety Regulations (“FMCSRs”) that expressly relate to the performance of AV technology. Further, there are currently no widely accepted uniform standards regarding AV technology and its commercial use. We work closely with law enforcement and regulators, and we have built organizational, operational, and safety processes to ensure that the performance of our technology meets rigorous standards. However, these measures may not meet future regulatory requirements enacted by government bodies. We may also be subject to future regulatory requirements that could limit the operation and commercialization of AV technology. In some jurisdictions, we may be required to present our own safety justification and evidence base, and in other areas it is possible that we may be required to pass specific autonomous safety tests. The failure to pass these safety tests or receive appropriate regulatory approvals for commercialization may adversely affect our business, financial condition, and results of operations. </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move freight in interstate and intrastate commerce as a motor carrier authorized by the Federal Motor Carrier Safety Administration (“FMCSA”) and other state transportation agencies and are subject to rules and regulations related to the safe operation on public roadways. Failure to comply with these rules and regulations may result in inquiries, investigations, and possible termination of motor carrier authority. For example, we are subject to the FMCSRs, including certain regulations that may be difficult for the Kodiak Driver to comply with. Most notably, operators of commercial motor vehicles, including us and our customers, are required in certain circumstances to place warning devices around trucks, including Kodiak Driver-powered trucks, stopped on the side of public roadways. While FMCSA recently approved an exemption process for warning triangle placement, we may not receive an exemption from USDOT, or USDOT may not change or eliminate this regulation, to provide us with an alternative approach to complying with this requirement or other similar operational requirements. Also, in installing our product onto the base vehicles, we must ensure the vehicles are not taken out of FMVSS compliance. Failure to do so may subject us to significant liabilities and possible barring of further vehicle development. </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It is also possible that future autonomous regulations are not standardized, and our technology becomes subject to differing regulations across jurisdictions (e.g. federal, state, local, and international). For example, in Europe, certain vehicle safety regulations apply to automated braking and steering systems, and certain treaties also restrict the operations of certain higher levels of automation. As of December 31, 2025, 24 U.S. states have passed legislation allowing for the deployment of driverless trucks, and most other states allow testing with a safety driver in the vehicle. Many other states are considering legislation and regulations that may adversely affect autonomous and driverless technologies. Despite advances in U.S. state legislation, there is currently no comprehensive U.S. federal framework for autonomous vehicle deployment. This regulatory patchwork, and the ongoing legislative and regulatory efforts at various jurisdictional levels, may hinder the commercial deployment of our technology and adversely affect our business prospects and financial condition. </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Further, organized labor, in particular the International Brotherhood of Teamsters, has opposed driverless technology and is increasingly using its political influence to attempt to slow or stop driverless deployment. In 2025, supporters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organized labor in approximately 20 states introduced legislation that would require human drivers to be physically present in all commercial motor vehicles equipped with AV technology. These states included California, Colorado, Delaware, Nevada, New Mexico and Texas. As of December 31, 2025, no such introduced legislation has become law; however, organized labor and other opponents to driverless development may ultimately be successful and, even if unsuccessful, we may spend significant time and resources in opposition to such efforts, any of which may adversely affect our business, prospects, and results of operations.</w:t>
      </w:r>
    </w:p>
    <w:p>
      <w:pPr>
        <w:pStyle w:val="TextBody"/>
        <w:bidi w:val="0"/>
        <w:spacing w:lineRule="auto" w:line="288" w:before="0" w:after="240"/>
        <w:jc w:val="both"/>
        <w:rPr>
          <w:rFonts w:ascii="Times New Roman;serif" w:hAnsi="Times New Roman;serif"/>
          <w:b/>
          <w:i/>
          <w:color w:val="231F20"/>
          <w:sz w:val="20"/>
        </w:rPr>
      </w:pPr>
      <w:r>
        <w:rPr>
          <w:rFonts w:ascii="Times New Roman;serif" w:hAnsi="Times New Roman;serif"/>
          <w:b/>
          <w:i/>
          <w:color w:val="231F20"/>
          <w:sz w:val="20"/>
        </w:rPr>
        <w:t>Changes in automotive or autonomy safety regulations, enforcement of such regulations, or concerns about AV technologies that result in regulation of the AV ground transportation industry may adversely affect our business.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Government vehicle safety regulations could have a substantial impact on our business, prospects, and our future plans. Government safety regulations are subject to change based on a number of factors that are not within our control. Such factors include new scientific or technological data, adverse publicity regarding industry recalls and perceived or actual safety risks associated with autonomous ground transportation technology, crashes involving autonomous vehicles, domestic and foreign political developments or considerations, and litigation relating to autonomous vehicles. Changes in government regulations, especially in autonomous ground transportation and the ground transportation industry may adversely affect our business. If government priorities shift and we are unable to adapt to changing regulations, our business may be adversely affected.</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costs of complying with safety regulations may increase as regulators impose more stringent compliance and reporting requirements in response to product recalls and safety issues in the automotive industry. As the trucks that carry our systems go into production, we will be subject to existing stringent requirements under the Vehicle Safety Act, including a duty to report, subject to strict timing requirements, safety defects. The Vehicle Safety Act imposes potentially significant civil penalties for violations including the failure to comply with such reporting actions.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also subject to the existing U.S. Transportation Recall Enhancement, Accountability and Documentation Act (the “TREAD Act”), which requires motor vehicle equipment manufacturers, such as us, to comply with “Early Warning” requirements by reporting certain information to the NHTSA such as information related to defects or reports of injury. The TREAD Act imposes criminal liability for violating such requirements if a defect subsequently causes death or bodily injury. In addition, the Vehicle Safety Act authorizes NHTSA to require a manufacturer to recall and repair vehicles that contain safety defects or fail to comply with U.S. federal motor vehicle safety standards. Sales into foreign countries may be subject to similar regulations.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Failures, or perceived failures, to comply with privacy or cybersecurity laws and regulations may adversely impact our business, and such legal requirements are evolving, uncertain and may require changes to our policies and operations, which could increase our costs or prevent us from effectively operating our business.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current and potential future operations and sales subject us to privacy and cybersecurity laws and regulations, including with respect to our collection, use, storage, disclosure, transfer and security of data, including personal data. Among other things, these regimes may impose cybersecurity requirements, disclosure requirements, and restrictions on personal data collection, uses, and sharing that may impact our operations and the development of our business. These requirements are evolving rapidly, with new laws and regulations proposed and enacted frequently in various jurisdictions, including the United States. Our solutions may evolve both to address evolving laws and regulations, potential customer or partner requirements, or to add new features and functionality that may change our privacy or cybersecurity obligations. Therefore, the full impact of these privacy and cybersecurity regimes on our business is unknown. Further, as laws and regulations change, or their interpretation changes, we may be required to implement measures that could adversely impact our expected business or commercial operations, and these changes could be costly to implement, result in increased risks to our business and operations, or otherwise adversely impact our business and operations or opportunities for commercialization of our technologies.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are assessing the continually evolving privacy and cybersecurity regimes applicable to our business and measures we believe are appropriate in response. Since these privacy and cybersecurity regimes are evolving, uncertain and complex, we may need to update or enhance our compliance measures as our products, markets and customer and partner demands further develop. These updates or enhancements could require implementation costs. In addition, we may not be able to monitor and react to all developments in a timely manner. The compliance measures we do adopt may prove or be perceived to be ineffective. Any failure, or perceived failure, by us to comply with current and future regulatory, partner or customer-driven privacy or cybersecurity requirements may result in significant liability or costs. Any such actual or perceived failure could also result in a material loss of revenue resulting from the adverse impact on our reputation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0"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brand, disruption to our business and relationships, and diminished ability to retain or attract partners and customers. Such events may result in governmental enforcement actions and prosecutions, private litigation, fines and penalties or adverse publicity, and may cause partners and customers to lose trust in us, which may have an adverse effect on our reputation and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An uncertain and evolving legal and regulatory environment relating to artificial intelligence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use artificial intelligence in our operations, product development, services, and our solution, and we rely on certain third-party artificial intelligence technologies in our operations, including generative AI-based VLMs. AI technologies are subject to evolving laws, regulations, guidance, and industry standards, which may expose us to legal liability or regulatory risk, including with respect to privacy, cybersecurity, publicity, contractual, or other rights. Litigation or other proceedings may be initiated by certain individuals claiming infringement of rights such as intellectual property, privacy or personality rights with respect to data we us to train our artificial intelligence models. We have adopted a series of measures, including the implementation of policies and management systems, to mitigate such risks. However, we cannot guarantee that these measures will be effective.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use of artificial intelligence technologies also presents emerging ethical and social issues. Those issues may draw public scrutiny or controversy and may also create or assist in producing unexpected results, errors, or inadequacies, any of which may be difficult to detect. Issues relating to our use of artificial intelligence and the evolving legal and regulatory landscape applicable to such technologies may adversely affect our business, financial condition, and results of operations.</w:t>
      </w:r>
    </w:p>
    <w:p>
      <w:pPr>
        <w:pStyle w:val="TextBody"/>
        <w:bidi w:val="0"/>
        <w:spacing w:lineRule="auto" w:line="288" w:before="0" w:after="240"/>
        <w:jc w:val="both"/>
        <w:rPr>
          <w:rFonts w:ascii="Times New Roman;serif" w:hAnsi="Times New Roman;serif"/>
          <w:b/>
          <w:i/>
          <w:color w:val="231F20"/>
          <w:sz w:val="20"/>
        </w:rPr>
      </w:pPr>
      <w:r>
        <w:rPr>
          <w:rFonts w:ascii="Times New Roman;serif" w:hAnsi="Times New Roman;serif"/>
          <w:b/>
          <w:i/>
          <w:color w:val="231F20"/>
          <w:sz w:val="20"/>
        </w:rPr>
        <w:t>We are subject to economic sanctions and export and import control laws and regulations. Our failure to comply with these laws and regulations may adversely affect our business, financial condition, and results of operations.</w:t>
      </w:r>
    </w:p>
    <w:p>
      <w:pPr>
        <w:pStyle w:val="TextBody"/>
        <w:bidi w:val="0"/>
        <w:spacing w:lineRule="auto" w:line="288" w:before="0" w:after="240"/>
        <w:ind w:left="0" w:right="0" w:firstLine="490"/>
        <w:jc w:val="left"/>
        <w:rPr/>
      </w:pPr>
      <w:r>
        <w:rPr>
          <w:rFonts w:ascii="Times New Roman;serif" w:hAnsi="Times New Roman;serif"/>
          <w:b w:val="false"/>
          <w:color w:val="231F20"/>
          <w:sz w:val="20"/>
        </w:rPr>
        <w:t>Our solutions are subject to U.S. economic sanctions, export controls and import control laws and regulations, including the U.S. Export Administration Regulations, U.S. Customs regulations, and various economic and trade sanctions regulations administered by the U.S. Treasury Department’s Office of Foreign Assets Control. Additionally, U.S. economic sanctions apply to activities to our personnel in the United States as well as our personnel that are U.S. persons wherever located.</w:t>
      </w:r>
      <w:r>
        <w:rPr>
          <w:color w:val="231F20"/>
        </w:rPr>
        <w:t xml:space="preserve"> </w:t>
      </w:r>
      <w:r>
        <w:rPr>
          <w:rFonts w:ascii="Times New Roman;serif" w:hAnsi="Times New Roman;serif"/>
          <w:b w:val="false"/>
          <w:color w:val="231F20"/>
          <w:sz w:val="20"/>
        </w:rPr>
        <w:t>U.S. economic sanctions and export control laws and regulations may prohibit the shipment of certain products and services to U.S. embargoed or sanctioned countries, governments, and persons, as well as shipments for certain end uses (e.g., military end uses). In addition, complying with customs laws, frequently changing U.S. tariff obligations, sanctions and export controls laws and regulations for a particular geography may be time-consuming and result in the delay or loss of revenue opportunities. Exports of our products and technology, and imports of items, including components, must be made in full compliance with applicable U.S. laws and regulations. If we fail to comply with these laws and regulations, we and certain of our employees may be subject to substantial civil or criminal penalties, including the possible loss of export or import privileges, fines that may be imposed on us and responsible employees or managers and, in extreme cases, the incarceration of responsible employees or managers.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may adversely affect our business, prospects, financial condition and results of operations and also our reputation.</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subject to anti-corruption, anti-bribery, anti-money laundering, financial and economic sanctions and similar laws and regulations in various jurisdictions in which we conduct business or in the future may conduct activities, including the U.S. Foreign Corrupt Practices Act (the “FCPA”), the U.K. Bribery Act 2010, and other anti-corruption laws and regulations. The FCPA and the U.K. Bribery Act 2010 prohibit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The U.K. Bribery Act 2010 and other laws also prohibit non-governmental “commercial” bribery and soliciting or accepting bribes. A violation of these laws or regulations may adversely affect our business, financial condition and results of operations and also our reputation. While we have policies and procedures designed to ensure compliance with these regulations, we cannot assure you that none of our directors, officers, employees, representatives, consultants, agents, and business partners will engage in improper conduct for which we may be held responsible.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non-compliance with anti-corruption, anti-bribery, anti-money laundering or financial and economic sanctions laws may subject us to whistleblower complaints, adverse media coverage, investigations, severe administrative, civil and criminal sanctions, collateral consequences, remedial measures and legal expenses. Should any of the foregoing occur, it could adversely affect our business, prospects, financial condition and results of operations and also our reputation. Responding to any investigation or action could also result in a materially significant diversion of management’s attention and resources and significant defense costs and other professional fees. In addition, changes in economic sanctions laws in the future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are subject to, and must remain in compliance with, environmental laws and regulations that may adversely affect our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subject to federal, state, local and foreign laws, regulations and ordinances relating to the protection of the environment. Such laws and regulations include those relating to emissions to the air, discharges to surface and subsurface waters, safe drinking water, greenhouse gases and the management of hazardous substances, oils and waste materials, as well as those specific to logistics for the oil and gas industry. Compliance with such laws and regulations can be costly, and our failure to comply with existing or new laws and regulations may result in the assessment of fines or penalties, the revocation or denial of permits, or the issuance of orders enjoining performance of some of our operations. Furthermore, under certain environmental laws and regulations, generators of waste materials, and current and former owners or operators of facilities, can be subject to liability for investigation and remediation costs at locations that have experienced or otherwise been affected by releases or contamination from hazardous substances or petroleum products, without regard to whether the generator, owner or operator knew of or caused the contamination or release. Liability under these laws and regulations has been interpreted to be strict, joint and several unless the harm is divisible and there is a reasonable basis for allocation of the responsibility. Accordingly, we may have to make expenditures for investigation or remediation costs incurred by governmental entities or third parties in connection with any releases or contamination at current or former properties. Environmental liabilities may arise and adversely affect our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Concern over climate change, including the impact of global warming, has led to legislative and regulatory efforts to limit carbon and other greenhouse gas emissions, and these efforts may continue, particularly at the state and local levels. Emission-related regulatory actions and climate disclosure requirements could result in increased costs that may adversely impact our results of operations. Such regulatory actions may require changes in our operating practices or require additional reporting disclosures. Compliance with climate-related disclosure laws and regulations may also increase our exposure to litigation or governmental investigations or proceedings. We may also encounter difficulties in collecting and managing data that affect timely compliance or incur significant costs to comply with increased regulation regarding environmental monitoring and climate disclosure requirements. More generally, compliance with environmental laws and regulations can require significant expenditures. In addition, we may incur costs to comply with such current or future laws and regulations, the violation of which may lead to substantial fines and penalties.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are subject to, and must remain in compliance with, numerous laws and governmental regulations concerning the manufacturing, use, distribution, and sale of our technology. Some of our customers or partners may also require that we comply with their own unique requirements relating to these matters.</w:t>
      </w:r>
    </w:p>
    <w:p>
      <w:pPr>
        <w:pStyle w:val="TextBody"/>
        <w:bidi w:val="0"/>
        <w:spacing w:lineRule="auto" w:line="288" w:before="0" w:after="36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develop and sell technology that contains electronic components. Such components may be subject to or may contain materials that are subject to government regulation in both the locations where manufacture and assembly of our products takes place, as well as the locations where we sell our solutions. This is a complex process which requires continual monitoring of regulations to ensure that we and our suppliers are in compliance with existing regulations in each market where we operate and where we intend to operate. If there is an unanticipated new regulation that significantly affects our use and sourcing of various components or requires more expensive components, that regulation may adversely affect our business, financial condition and results of operations. Some of our customers or partners may also require that we comply with their own unique requirements relating to these matters. If we fail to adhere to such requirements or new regulations or fail to continually monitor updates to existing regulations, we may be subject to litigation, loss of customers or partners or negative publicity, any of which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73" w:after="240"/>
        <w:jc w:val="left"/>
        <w:rPr>
          <w:rFonts w:ascii="Times New Roman;serif" w:hAnsi="Times New Roman;serif"/>
          <w:b/>
          <w:color w:val="231F20"/>
          <w:sz w:val="20"/>
        </w:rPr>
      </w:pPr>
      <w:r>
        <w:rPr>
          <w:rFonts w:ascii="Times New Roman;serif" w:hAnsi="Times New Roman;serif"/>
          <w:b/>
          <w:color w:val="231F20"/>
          <w:sz w:val="20"/>
        </w:rPr>
        <w:t>Risks Related to Financial and Tax Matters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require a significant amount of capital to fund our operations and growth. If we cannot obtain sufficient capital on acceptable terms, our business, financial condition, and results of operations may be adversely affected.</w:t>
      </w:r>
    </w:p>
    <w:p>
      <w:pPr>
        <w:pStyle w:val="TextBody"/>
        <w:bidi w:val="0"/>
        <w:spacing w:lineRule="auto" w:line="288" w:before="0" w:after="240"/>
        <w:ind w:left="0" w:right="0" w:firstLine="490"/>
        <w:jc w:val="left"/>
        <w:rPr/>
      </w:pPr>
      <w:r>
        <w:rPr>
          <w:rFonts w:ascii="Times New Roman;serif" w:hAnsi="Times New Roman;serif"/>
          <w:b w:val="false"/>
          <w:color w:val="231F20"/>
          <w:sz w:val="20"/>
        </w:rPr>
        <w:t>The development and commercialization of our AV technology and solutions are capital-intensive. Our limited operating history means we have limited historical data on the demand for our solutions. As a result, our future capital requirements are uncertain and actual capital requirements may differ from those currently anticipated, particularly as we incur additional costs associated with operating as a public company. We expect to focus our investments on scaling our commercial operations and expect to continue investing in R&amp;D to further enhance our AV technology. We may need to seek equity or debt financing</w:t>
      </w:r>
      <w:r>
        <w:rPr>
          <w:rFonts w:ascii="Times New Roman;serif" w:hAnsi="Times New Roman;serif"/>
          <w:b w:val="false"/>
          <w:color w:val="000000"/>
          <w:sz w:val="20"/>
        </w:rPr>
        <w:t xml:space="preserve">, including in the near term in the form of issuing equity and equity-linked securities and incurring additional indebtedness, </w:t>
      </w:r>
      <w:r>
        <w:rPr>
          <w:rFonts w:ascii="Times New Roman;serif" w:hAnsi="Times New Roman;serif"/>
          <w:b w:val="false"/>
          <w:color w:val="231F20"/>
          <w:sz w:val="20"/>
        </w:rPr>
        <w:t>to fund a portion of our future expenditures. Such financing might not be available to us in a timely manner, on terms that are acceptable, or at all.</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ability to obtain the necessary financing to carry out our business plan is subject to a number of factors, including general market conditions, our financial condition, investor acceptance of our business plan, regulatory requirements and the scale of our commercial operations. We may raise these additional funds through the issuance of equity, equity-linked, or debt securities. To the extent that we raise additional financing by issuing equity securities or equity-linked securities, our stockholders may experience substantial dilution. To the extent we engage in additional debt financing, we may become subject to further restrictive covenants that may limit our flexibility in conducting future business activities. Financial institutions may request credit enhancements such as third-party guarantees and pledges of equity interest in order to extend loans to us. We cannot be certain that additional funds will be available to us on attractive terms when required, or at all. If we cannot raise additional funds when we need them, our business, financial condition and results of operations may be adversely affected.</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estimates of our cash needs may prove inaccurate in which case we may need to raise capital or change our operating plans and timelines.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spending significant amounts to develop our business and have estimated how much cash we will need on a quarterly basis until we raise additional funds or become cash flow positive. These estimates are based on our current operating plan and are subject to significant uncertainties and contingencies, many of which are beyond our control. Our estimates regarding our cash requirements may prove inaccurate, causing the actual amount to differ from our estimates. We expect to seek additional funding through debt or equity offerings to fund our operating plan. We may also find that our business operations are more expensive than we currently anticipate or that these efforts may not result in revenues, which may further increase our cash needs and losses. If our cash expenditures are higher than expected, we may need to raise additional capital or adjust our operating plans and timelines. There can be no assurance that we will be able to raise additional capital on acceptable terms or at all.</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have relied upon, and may continue to rely upon, certain assumptions and estimates to calculate certain metrics, including our Cumulative Hours of Paid Driverless Operations, and real or perceived inaccuracies in such metrics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Certain of the metrics and figures that we disclose, such as Cumulative Hours of Paid Driverless Operations, have been calculated using internal company data that has not been independently verified. While these metrics and figures are based on what we believe to be reasonable calculations for the applicable periods of measurement, there are inherent challenges in measuring these metrics and figures. We regularly review our metrics, and may adjust our processes for calculating metrics and other figures to improve their accuracy, but these efforts may not prove successful, and we may discover material inaccuracies. In addition, our methodologies for calculating these metrics may be updated from time to time and may differ from the methodologies used by other companies to calculate similar metrics and figures. We may also discover unexpected errors in the data that we are using that resulted from technical or other errors.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In addition, our total addressable market and opportunity estimates are subject to significant uncertainty and are based on assumptions and estimates that may prove inaccurate. The projections, forecasts and estimates that we disclose from time to time relating to the expected size and growth of the markets for AV technology may prove similarly imprecise. There is no guarantee that we will be able to successfully commercialize our solutions at scale within the addressable market opportunities presented. Even if the market in which we compete meets our size estimates and growth forecasts, our business could fail to grow at the levels we expect or at all for a variety of reasons outside our control, including competition in our industry. If securities analysts or investors do not consider any metric we may disclose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future to be accurate representations of our business, or if we discover material inaccuracies in our estimates, then the market price of our securities may decline, and our business, financial condition, and results of operations may be adversely affected.</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If our judgments or estimates relating to our critical accounting policies are based on assumptions that change or prove to be incorrect, our results of operations may fall below expectations of securities analysts and investors, resulting in a decline in our stock price.</w:t>
      </w:r>
    </w:p>
    <w:p>
      <w:pPr>
        <w:pStyle w:val="TextBody"/>
        <w:bidi w:val="0"/>
        <w:spacing w:lineRule="auto" w:line="288" w:before="0" w:after="240"/>
        <w:ind w:left="0" w:right="0" w:firstLine="490"/>
        <w:jc w:val="left"/>
        <w:rPr/>
      </w:pPr>
      <w:r>
        <w:rPr>
          <w:rFonts w:ascii="Times New Roman;serif" w:hAnsi="Times New Roman;serif"/>
          <w:b w:val="false"/>
          <w:color w:val="231F20"/>
          <w:sz w:val="20"/>
        </w:rPr>
        <w:t>The preparation of our financial statements in conformity with GAAP requires management to make judgments, estimates, and assumptions that affect the amounts reported in the financial statements and accompanying notes. We base our estimates in part on historical experience, market observable inputs, if available, and various other assumptions that we believe to be reasonable under the circumstances, as provided in the section titled “</w:t>
      </w:r>
      <w:r>
        <w:rPr>
          <w:rFonts w:ascii="Times New Roman;serif" w:hAnsi="Times New Roman;serif"/>
          <w:b w:val="false"/>
          <w:i/>
          <w:color w:val="231F20"/>
          <w:sz w:val="20"/>
        </w:rPr>
        <w:t>Management’s Discussion and Analysis of Financial Condition and Results of Operations—Critical Accounting Estimates</w:t>
      </w:r>
      <w:r>
        <w:rPr>
          <w:rFonts w:ascii="Times New Roman;serif" w:hAnsi="Times New Roman;serif"/>
          <w:b w:val="false"/>
          <w:color w:val="231F20"/>
          <w:sz w:val="20"/>
        </w:rPr>
        <w:t>.” Significant judgments, estimates, and assumptions used in preparing our financial statements include, or may in the future include, those related to revenue recognition, stock-based compensation, and valuation of financial instruments. Our results of operations may be adversely affected if our assumptions change or if actual circumstances differ from those in our assumptions, which may cause our results of operations to fall below the expectations of securities analysts and investors, resulting in a decline in the trading price of our securities.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current and future insurance coverage may not be adequate to protect us from all business risks or may be prohibitively expensive.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the ordinary course of business, we may be subject to losses resulting from product liability, accidents, acts of God, errors and omissions, cyber claims, and other claims against us, for which we may have insufficient insurance coverage or no insurance coverage. Further, because we operate in a new and thus inherently risky industry, insurance policies may not be available to us on terms and rates that are acceptable to us or at all. In addition, as a general matter, the policies that we do have may include significant deductibles or self-insured retentions. Accordingly, we cannot be certain that our current and future insurance coverage will be sufficient to cover all future losses or claims against us. A loss that is uninsured or which exceeds policy limits may require us to pay substantial amounts, which may adversely affect our business, financial condition and results of operations. Further, actions or inactions of others in our industry, through no fault of our own, may materially increase the cost of insurance and/or materially decrease the coverage available to us on commercially reasonable terms. Insurance policies may not exist, or may be insufficient, for possible novel claims or causes of action which may be pled or come into existence in the future based upon our continued development of new technologies.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If we are unable to develop and maintain an effective system of internal control over financial reporting, we may not be able to accurately report our financial results in a timely manner, which may adversely affect investor confidence in us and adversely affect our business and operating results.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As a public company, we are subject to the reporting requirements of the Exchange Act, the Sarbanes-Oxley Act, and Nasdaq listing standards. Among other things, the Sarbanes-Oxley Act and related Exchange Act rules require that we maintain effective disclosure controls and procedures and internal control over financial reporting. Section 404 of the Sarbanes-Oxley Act requires that we evaluate and report on our system of internal controls. In addition, we are required to have our independent public accounting firm attest to and report on our internal control over financial reporting when we cease qualifying as an “emerging growth company” pursuant to the Jumpstart Our Business Startups Act (the “JOBS Act”).</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continuing to develop and refine our disclosure controls and other procedures that are designed to assure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management, including our principal executive and financial officers, to allow timely decisions regarding disclosure. We are also continuing to improve our internal control over financial reporting. We have expended, and anticipate that we will continue to expend, significant resources to maintain and improve the effectiveness of our disclosure controls and procedures and internal control over financial reporting.</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Our current controls and any new controls that we develop may become inadequate because of changes in the conditions in our business. Further, weaknesses in our disclosure controls or our internal control over financial reporting may be discovered in the future. Any failure to develop or maintain effective controls, or any difficulties encountered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their implementation or improvement, may harm our results of operations or cause us to fail to meet our reporting obligations and may result in a restatement of our financial statements for prior periods. Any failure to implement and maintain effective internal control over financial reporting may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may also cause investors to lose confidence in our reported financial and other information, which would likely adversely affect the market price of our securities. In addition, if we are unable to continue to meet these requirements, we may not be able to remain listed on Nasdaq.</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Any failure to maintain effective disclosure controls and internal control over financial reporting may adversely affect our business, financial condition, and results of operations and may cause a decline in the market price of our securities.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Unanticipated changes in effective tax rates, adverse outcomes resulting from examination of our income, changes in tax laws or regulations, changes in our ability to utilize our net operating loss, or other tax-related changes may adversely affect our business, prospects,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subject to income and other taxes in the United States and other jurisdictions, each of which has its own rules. Our current and future effective tax rates may be subject to volatility or adversely affected by a number of factors, including changes in the valuation of our deferred tax assets and liabilities; expected timing and amount of the release of any tax valuation allowances; tax effects of stock-based compensation; changes in tax laws, regulations or interpretations thereof; or lower than anticipated future earnings in jurisdictions where we have lower statutory tax rates and higher than anticipated future earnings in jurisdictions where we have higher statutory tax rates. In addition, we may be subject to audits of our income, sales and other transaction taxes by taxing authorities. Outcomes from these audits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current and future effective tax rates may be affected by changes in the mix of earnings in countries with differing statutory tax rates, changes in the valuation of deferred tax assets and liabilities and changes in tax laws or their interpretation. In addition, we may be subject to tax audits by various tax jurisdictions. Although we believe our tax liabilities are reasonably estimated and accounted for in accordance with applicable laws and principles, an adverse resolution by one or more taxing authorities may have a material impact on the results of our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Recent changes and currently proposed changes in tax laws may have a material adverse effect on our business, cash flow, results of operations or financial conditions.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and will be generally subject to tax laws, regulations, and policies of several taxing jurisdictions. In addition, potential changes in tax laws, as well as other factors, may cause us to experience fluctuations in our future tax obligations and effective tax rates and otherwise adversely affect our future tax positions and/or our future tax liabilities. For example, in August of 2022, the United States enacted a 1% stock repurchase excise tax and a 15% alternative minimum tax on adjusted financial statement income as part of the Inflation Reduction Act of 2022. Additionally, the One Big Beautiful Bill Act (or “OBBB Act”), enacted on July 4, 2025, among other changes, added Section 174A to the Code, permitting the deduction of certain U.S. research and development expenditures incurred in tax years beginning on or after January 1, 2025, but expenditures attributable to research and development conducted outside the U.S. continue to be required to be capitalized and amortized over a 15-year period. We are currently evaluating the full impact of the OBBB Act on us. Further, many countries, and organizations such as the Organization for Economic Cooperation and Development (the “OECD”) have proposed implementing changes to existing tax laws. The OECD has made proposals regarding the implementation of global minimum tax of at least 15% for multinationals with global revenue exceeding certain thresholds, known as “Pillar Two.” The OECD and participating jurisdictions have agreed to a “side-by-side” elective safe harbor that would exempt electing U.S.-parented multinational entities from certain provisions of Pillar Two for fiscal years beginning on or after January 1, 2026. Any of these or other developments or changes in U.S. federal, state, or international tax laws or tax rulings may adversely affect our current and future effective tax rate and our operating results. There can be no assurance that our current and future effective tax rates or tax payments will not be adversely affected by these or other developments or changes in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ability to utilize our net operating loss carryforwards may be limited.</w:t>
      </w:r>
    </w:p>
    <w:p>
      <w:pPr>
        <w:pStyle w:val="TextBody"/>
        <w:bidi w:val="0"/>
        <w:spacing w:lineRule="auto" w:line="288" w:before="0" w:after="240"/>
        <w:ind w:left="0" w:right="0" w:firstLine="490"/>
        <w:jc w:val="left"/>
        <w:rPr/>
      </w:pPr>
      <w:r>
        <w:rPr>
          <w:rFonts w:ascii="Times New Roman;serif" w:hAnsi="Times New Roman;serif"/>
          <w:b w:val="false"/>
          <w:color w:val="231F20"/>
          <w:sz w:val="20"/>
        </w:rPr>
        <w:t xml:space="preserve">As of </w:t>
      </w:r>
      <w:r>
        <w:rPr>
          <w:rFonts w:ascii="Times New Roman;serif" w:hAnsi="Times New Roman;serif"/>
          <w:b w:val="false"/>
          <w:color w:val="000000"/>
          <w:sz w:val="20"/>
        </w:rPr>
        <w:t>December 31, 2025</w:t>
      </w:r>
      <w:r>
        <w:rPr>
          <w:rFonts w:ascii="Times New Roman;serif" w:hAnsi="Times New Roman;serif"/>
          <w:b w:val="false"/>
          <w:color w:val="231F20"/>
          <w:sz w:val="20"/>
        </w:rPr>
        <w:t xml:space="preserve">, we had estimated U.S. federal and state net operating loss carryforwards of approximately </w:t>
      </w:r>
      <w:r>
        <w:rPr>
          <w:rFonts w:ascii="Times New Roman;serif" w:hAnsi="Times New Roman;serif"/>
          <w:b w:val="false"/>
          <w:color w:val="000000"/>
          <w:sz w:val="20"/>
        </w:rPr>
        <w:t>$288.7 million</w:t>
      </w:r>
      <w:r>
        <w:rPr>
          <w:color w:val="231F20"/>
        </w:rPr>
        <w:t xml:space="preserve"> </w:t>
      </w:r>
      <w:r>
        <w:rPr>
          <w:rFonts w:ascii="Times New Roman;serif" w:hAnsi="Times New Roman;serif"/>
          <w:b w:val="false"/>
          <w:color w:val="231F20"/>
          <w:sz w:val="20"/>
        </w:rPr>
        <w:t>and $</w:t>
      </w:r>
      <w:r>
        <w:rPr>
          <w:rFonts w:ascii="Times New Roman;serif" w:hAnsi="Times New Roman;serif"/>
          <w:b w:val="false"/>
          <w:color w:val="000000"/>
          <w:sz w:val="20"/>
        </w:rPr>
        <w:t>180.9 million</w:t>
      </w:r>
      <w:r>
        <w:rPr>
          <w:rFonts w:ascii="Times New Roman;serif" w:hAnsi="Times New Roman;serif"/>
          <w:b w:val="false"/>
          <w:color w:val="231F20"/>
          <w:sz w:val="20"/>
        </w:rPr>
        <w:t xml:space="preserve">, respectively. Our U.S. state net operating loss carryforwards subject to expiration will begin to expire in </w:t>
      </w:r>
      <w:r>
        <w:rPr>
          <w:rFonts w:ascii="Times New Roman;serif" w:hAnsi="Times New Roman;serif"/>
          <w:b w:val="false"/>
          <w:color w:val="000000"/>
          <w:sz w:val="20"/>
        </w:rPr>
        <w:t>2039</w:t>
      </w:r>
      <w:r>
        <w:rPr>
          <w:rFonts w:ascii="Times New Roman;serif" w:hAnsi="Times New Roman;serif"/>
          <w:b w:val="false"/>
          <w:color w:val="231F20"/>
          <w:sz w:val="20"/>
        </w:rPr>
        <w:t>. In general, we may potentially use these net operating losses to offset taxable income for U.S. federal and state income tax purposes. Furthermore, our U.S. federal net operating losses generally may only be used to offset 80% of our taxable income. This may require us to pay U.S. federal income taxes in future years despite generating a loss for U.S. federal income tax purposes in prior years. Limitations under state law may differ. We have established a valuation allowance against the carrying value of these deferred tax assets.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addition to the potential net operating loss limitations previously noted above, under Section 382 of the Internal Revenue Code, a corporation that undergoes an “ownership change” is subject to limitations on its ability to use its pre-change net operating loss carryforwards to offset future taxable income. The limitations apply if a corporation undergoes an “ownership change,” which is generally defined as a greater than 50 percentage point change (by value) in its equity ownership by one or more stockholders or groups of stockholders who own at least 5% of a company’s stock over a rolling three-year period. If we have experienced an ownership change at any time since our incorporation, we may already be subject to limitations on our ability to utilize our existing net operating loss carryforwards and other tax attributes to offset taxable income or tax liability. In addition, future changes in our stock ownership, which may be outside of our control, may trigger an ownership change. Similar provisions of state tax law may also apply to limit our use of accumulated state tax attributes. As a result, even if we earn net taxable income in the future, our ability to use our pre-change net operating loss carryforwards and other tax attributes to offset such taxable income or tax liability may be subject to limitations, which may potentially result in increased future income tax liability to us. In addition, for state income tax purposes, there may be periods during which the use of net operating loss carryforwards is suspended or otherwise limited, which could accelerate or permanently increase state taxes owed. For example, California recently enacted legislation that limits the use of state net operating losses for taxable years beginning on or after January 1, 2024 and before January 1, 2027.</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may incur substantial indebtedness which may adversely affect our business and limit our ability to plan for or respond to changes in our business.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have in the past incurred and may continue to incur substantial indebtedness. Our ability to make payments on our debt obligations and to fund planned capital expenditures depends on our ability to generate cash from our future operations. To a certain extent, this, is subject to financial, competitive, legislative, regulatory and other factors that are beyond our control. In addition, if we cannot service our indebtedness, we may have to take actions such as selling assets, seeking additional equity or reducing or delaying capital expenditures, strategic investments and alliances, any of which may impede the implementation of our business plans, prevent us from entering into transactions that may otherwise benefit our business and/or adversely affect our financial condition and results of operations. We may not be able to refinance our indebtedness or take such other actions, if necessary, on commercially reasonable terms, or at all.</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credit facilities contain restrictive covenants and other terms that may impair our ability to conduct business.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Among other things, and in each case subject to certain exceptions, our credit facilities contain a number of customary affirmative and negative covenants that will limit or restrict our ability to: incur additional indebtedness (including guaranty obligations); incur liens; engage in mergers, consolidations, liquidations and dissolutions; sell assets; pay dividends and make other payments in respect of capital stock; make acquisitions, investments, loans and advances; make payments on or modify the terms of certain existing indebtedness; engage in certain transactions with affiliates; enter into pledges with respect to our intellectual property; and change our line of business. As a result of these covenants and restrictions, we are limited in how we conduct our business. We may also be unable to raise additional debt or other financing to compete effectively or to take advantage of new business opportunities. Our ability to comply with these covenants and restrictions may be affected by events beyond our control. Breaches of these covenants and restrictions may result in a default under the credit facilities, which would give the lenders the right to terminate their commitments to provide additional loans under the credit facilities and to declare all borrowings, together with accrued and unpaid interest and fees, to be immediately due and payable. The terms of any future indebtedness we may incur may include additional restrictive covenants. We may not be able to maintain compliance with these covenants. If we fail to do so, we may not be able to obtain waivers from the lenders or amend the covenants, which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46"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may be unable to generate sufficient cash flow to satisfy our significant debt service obligations, which may adversely affect our business, financial condition, results of operations, and cash flows.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Our ability to make scheduled payments on or to refinance our debt obligations depends on our financial condition and results of operations, which are subject to prevailing economic and competitive conditions and to certain financial, business, legislative, regulatory, and other factors beyond our control. We may not be able to maintain a level of cash flows from operating activities sufficient to permit us to pay the principal, premium, if any, or interest on our indebtedness. If our cash flows and capital resources are insufficient to fund our debt service obligations, we may be forced to reduce or delay strategic acquisitions and partnerships, capital expenditures, and payments on account of other obligations, seek additional capital, restructure, or refinance our indebtedness, or sell assets. These alternative measures may not be successful and may not permit us to meet our scheduled debt service obligations. Our ability to restructure or refinance our debt will depend on the condition of the capital markets and our financial condition at such time. Any refinancing of our debt could be at higher interest rates and could require us to comply with more onerous covenants, which could further restrict our business operations. In addition, we cannot assure you that we will be able to refinance any of our indebtedness on commercially reasonable terms, or at all. </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If we are unable to repay or otherwise refinance our indebtedness when due, or if any other event of default is not cured or waived, the applicable lenders could accelerate our outstanding obligations or proceed against the collateral granted to them to secure that indebtedness. Should that occur, it could force us into bankruptcy or liquidation. In the event the applicable lenders accelerate the repayment of our borrowings, we may not have sufficient assets to repay that indebtedness. Any acceleration of amounts due under the agreements governing our credit facilities or the exercise by the applicable lenders of their rights under the security documents could have a material and adverse effect on our business.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There is substantial doubt about our ability to continue as a “going concern.”</w:t>
      </w:r>
    </w:p>
    <w:p>
      <w:pPr>
        <w:pStyle w:val="TextBody"/>
        <w:bidi w:val="0"/>
        <w:spacing w:lineRule="auto" w:line="288" w:before="0" w:after="240"/>
        <w:ind w:left="0" w:right="0" w:firstLine="490"/>
        <w:jc w:val="left"/>
        <w:rPr/>
      </w:pPr>
      <w:r>
        <w:rPr>
          <w:rFonts w:ascii="Times New Roman;serif" w:hAnsi="Times New Roman;serif"/>
          <w:b w:val="false"/>
          <w:color w:val="231F20"/>
          <w:sz w:val="20"/>
        </w:rPr>
        <w:t xml:space="preserve">Although our audited financial statements for the </w:t>
      </w:r>
      <w:r>
        <w:rPr>
          <w:rFonts w:ascii="Times New Roman;serif" w:hAnsi="Times New Roman;serif"/>
          <w:b w:val="false"/>
          <w:color w:val="000000"/>
          <w:sz w:val="20"/>
        </w:rPr>
        <w:t>years ended</w:t>
      </w:r>
      <w:r>
        <w:rPr>
          <w:color w:val="231F20"/>
        </w:rPr>
        <w:t xml:space="preserve"> </w:t>
      </w:r>
      <w:r>
        <w:rPr>
          <w:rFonts w:ascii="Times New Roman;serif" w:hAnsi="Times New Roman;serif"/>
          <w:b w:val="false"/>
          <w:color w:val="000000"/>
          <w:sz w:val="20"/>
        </w:rPr>
        <w:t>December 31, 2025, 2024,</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2023</w:t>
      </w:r>
      <w:r>
        <w:rPr>
          <w:color w:val="231F20"/>
        </w:rPr>
        <w:t xml:space="preserve"> </w:t>
      </w:r>
      <w:r>
        <w:rPr>
          <w:rFonts w:ascii="Times New Roman;serif" w:hAnsi="Times New Roman;serif"/>
          <w:b w:val="false"/>
          <w:color w:val="231F20"/>
          <w:sz w:val="20"/>
        </w:rPr>
        <w:t xml:space="preserve">were prepared under the assumption that we will continue our operations as a going concern, we have incurred and expect to continue to incur significant expenses and operating losses. Management has concluded that these circumstances raise substantial doubt about our ability to continue as a going concern, and the reports of our independent registered public accounting firms that accompany our financial statements for the </w:t>
      </w:r>
      <w:r>
        <w:rPr>
          <w:rFonts w:ascii="Times New Roman;serif" w:hAnsi="Times New Roman;serif"/>
          <w:b w:val="false"/>
          <w:color w:val="000000"/>
          <w:sz w:val="20"/>
        </w:rPr>
        <w:t>years ended</w:t>
      </w:r>
      <w:r>
        <w:rPr>
          <w:color w:val="231F20"/>
        </w:rPr>
        <w:t xml:space="preserve"> </w:t>
      </w:r>
      <w:r>
        <w:rPr>
          <w:rFonts w:ascii="Times New Roman;serif" w:hAnsi="Times New Roman;serif"/>
          <w:b w:val="false"/>
          <w:color w:val="000000"/>
          <w:sz w:val="20"/>
        </w:rPr>
        <w:t>December 31, 2025, 2024,</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2023</w:t>
      </w:r>
      <w:r>
        <w:rPr>
          <w:color w:val="231F20"/>
        </w:rPr>
        <w:t xml:space="preserve"> </w:t>
      </w:r>
      <w:r>
        <w:rPr>
          <w:rFonts w:ascii="Times New Roman;serif" w:hAnsi="Times New Roman;serif"/>
          <w:b w:val="false"/>
          <w:color w:val="231F20"/>
          <w:sz w:val="20"/>
        </w:rPr>
        <w:t>include an explanatory paragraph which states certain conditions exist that raise substantial doubt about our ability to continue as a going concern in relation to the foregoing.</w:t>
      </w:r>
    </w:p>
    <w:p>
      <w:pPr>
        <w:pStyle w:val="TextBody"/>
        <w:bidi w:val="0"/>
        <w:spacing w:lineRule="auto" w:line="288" w:before="0" w:after="240"/>
        <w:ind w:left="0" w:right="0" w:firstLine="490"/>
        <w:jc w:val="left"/>
        <w:rPr/>
      </w:pPr>
      <w:r>
        <w:rPr>
          <w:rFonts w:ascii="Times New Roman;serif" w:hAnsi="Times New Roman;serif"/>
          <w:b w:val="false"/>
          <w:color w:val="231F20"/>
          <w:sz w:val="20"/>
        </w:rPr>
        <w:t xml:space="preserve">Our future capital requirements will depend on many factors, including the rate of adoption of the Kodiak Driver and our DaaS model and the associated revenue growth, the expenses associated with such growth, and the timing and extent of our research and development efforts. If we are unable to raise sufficient capital when needed, our business, financial condition and results of operations may be adversely affected, and we may need to significantly modify our operational plans to continue as a going concern. We do not anticipate that our cash and cash equivalents as of </w:t>
      </w:r>
      <w:r>
        <w:rPr>
          <w:rFonts w:ascii="Times New Roman;serif" w:hAnsi="Times New Roman;serif"/>
          <w:b w:val="false"/>
          <w:color w:val="000000"/>
          <w:sz w:val="20"/>
        </w:rPr>
        <w:t>December 31, 2025</w:t>
      </w:r>
      <w:r>
        <w:rPr>
          <w:rFonts w:ascii="Times New Roman;serif" w:hAnsi="Times New Roman;serif"/>
          <w:b w:val="false"/>
          <w:color w:val="231F20"/>
          <w:sz w:val="20"/>
        </w:rPr>
        <w:t>, which includes the net cash proceeds from the consummation of the business combination, will be sufficient to meet our capital requirements for at least one year under our current operating plan. We expect to seek additional funding from debt or equity offerings, which may result in substantial dilution or additional restrictive covenants. If we do not generate sufficient cash to fund our operating plan, we may also adjust our operating plan to reduce our research and development initiatives, lower our anticipated growth plans or liquidate our assets, among other things. To the extent any or all of these events were to occur, our business, operating results, financial condition and prospects may be materially and adversely affected. In conjunction with such a liquidation, the values we receive for our assets in liquidation or dissolution may be significantly lower than the values reflected in our financial statements. Our lack of cash resources and our potential inability to continue as a going concern may adversely affect our stock price and our ability to raise new capital or to enter into critical contractual relations with third parties due to concerns about our ability to meet our contractual obligations.</w:t>
      </w:r>
    </w:p>
    <w:p>
      <w:pPr>
        <w:pStyle w:val="TextBody"/>
        <w:bidi w:val="0"/>
        <w:spacing w:lineRule="auto" w:line="288" w:before="1" w:after="360"/>
        <w:ind w:left="0" w:right="0" w:firstLine="400"/>
        <w:jc w:val="left"/>
        <w:rPr/>
      </w:pPr>
      <w:r>
        <w:rPr>
          <w:rFonts w:ascii="Times New Roman;serif" w:hAnsi="Times New Roman;serif"/>
          <w:b w:val="false"/>
          <w:color w:val="231F20"/>
          <w:sz w:val="20"/>
        </w:rPr>
        <w:t>The financial statements contained elsewhere in this report do not include any adjustments that might result from our inability to continue as a going concern. Please see the section of this Annual Report titled “</w:t>
      </w:r>
      <w:r>
        <w:rPr>
          <w:rFonts w:ascii="Times New Roman;serif" w:hAnsi="Times New Roman;serif"/>
          <w:b w:val="false"/>
          <w:i/>
          <w:color w:val="231F20"/>
          <w:sz w:val="20"/>
        </w:rPr>
        <w:t>Management’s Discussion and Analysis of Financial Condition and Results of Operations—Liquidity and Capital Resources</w:t>
      </w:r>
      <w:r>
        <w:rPr>
          <w:color w:val="231F20"/>
        </w:rPr>
        <w:t xml:space="preserve">” </w:t>
      </w:r>
      <w:r>
        <w:rPr>
          <w:rFonts w:ascii="Times New Roman;serif" w:hAnsi="Times New Roman;serif"/>
          <w:b w:val="false"/>
          <w:color w:val="231F20"/>
          <w:sz w:val="20"/>
        </w:rPr>
        <w:t>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231F20"/>
          <w:sz w:val="20"/>
        </w:rPr>
      </w:pPr>
      <w:r>
        <w:rPr>
          <w:rFonts w:ascii="Times New Roman;serif" w:hAnsi="Times New Roman;serif"/>
          <w:b/>
          <w:color w:val="231F20"/>
          <w:sz w:val="20"/>
        </w:rPr>
        <w:t>Risks Related to Our Securities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There can be no assurance that we will be able to comply with the continued listing standards of Nasdaq.</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common stock and Public Warrants are listed on Nasdaq under the symbols “KDK” and “KDKRW,” respectively. Although we currently meet the continued listing standards set forth in the Nasdaq listing standards, we cannot assure you that our securities will continue to be listed on Nasdaq in the future. To continue listing our securities on Nasdaq, we must maintain certain financial, distribution and share price levels. Generally, we must maintain a minimum market capitalization (generally $50 million), a minimum market capitalization attributable to publicly held shares (generally $15 million) and a minimum number of holders of our securities (generally 400 public holders).</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If Nasdaq delists our securities from trading on its exchange and we are not able to list our securities on another stock exchange, we expect our securities could be quoted on an over-the-counter market. If this were to occur, we could face significant material adverse consequences, including:</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 limited availability of market quotations for our securities;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reduced liquidity for our securities;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 determination that our securities are a “penny stock” which will require brokers trading in our securities to adhere to more stringent rules and possibly result in a reduced level of trading activity in the secondary trading market for our securities;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 limited amount of news and analyst coverage; and</w:t>
      </w:r>
    </w:p>
    <w:p>
      <w:pPr>
        <w:pStyle w:val="TextBody"/>
        <w:bidi w:val="0"/>
        <w:spacing w:lineRule="auto" w:line="288" w:before="0" w:after="240"/>
        <w:ind w:left="0" w:right="0" w:hanging="360"/>
        <w:jc w:val="left"/>
        <w:rPr>
          <w:color w:val="000000"/>
        </w:rPr>
      </w:pPr>
      <w:r>
        <w:rPr>
          <w:color w:val="000000"/>
        </w:rPr>
        <w:t>•    </w:t>
      </w:r>
      <w:r>
        <w:rPr>
          <w:rFonts w:ascii="Times New Roman;serif" w:hAnsi="Times New Roman;serif"/>
          <w:b w:val="false"/>
          <w:color w:val="000000"/>
          <w:sz w:val="20"/>
        </w:rPr>
        <w:t>a decreased ability to issue additional securities or obtain additional financing in the future.</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An active trading market for our securities may not develop, which may limit your ability to sell such securities.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Although we list our common stock and Public Warrants on Nasdaq under the ticker symbols “KDK” and “KDKRW,” respectively, an active trading market for such securities may never develop or be sustained. A public trading market having the desirable characteristics of depth, liquidity and orderliness depends upon the existence of willing buyers and sellers at any given time, such existence being dependent upon the individual decisions of buyers and sellers over which neither we nor any market maker has control. The failure of an active and liquid trading market to develop and continue would likely have a material adverse effect on the value of our common stock and Public Warrants. An inactive market may also impair our ability to raise capital to continue to fund operations by issuing our common stock and Public Warrants.</w:t>
      </w:r>
    </w:p>
    <w:p>
      <w:pPr>
        <w:pStyle w:val="TextBody"/>
        <w:bidi w:val="0"/>
        <w:spacing w:lineRule="auto" w:line="288" w:before="0" w:after="240"/>
        <w:jc w:val="both"/>
        <w:rPr>
          <w:rFonts w:ascii="Times New Roman;serif" w:hAnsi="Times New Roman;serif"/>
          <w:b/>
          <w:i/>
          <w:color w:val="231F20"/>
          <w:sz w:val="20"/>
        </w:rPr>
      </w:pPr>
      <w:r>
        <w:rPr>
          <w:rFonts w:ascii="Times New Roman;serif" w:hAnsi="Times New Roman;serif"/>
          <w:b/>
          <w:i/>
          <w:color w:val="231F20"/>
          <w:sz w:val="20"/>
        </w:rPr>
        <w:t>Delaware law and our Certificate of Incorporation and Bylaws contain certain provisions, including anti- takeover provisions, that limit the ability of stockholders to take certain actions and could delay or discourage takeover attempts that stockholders may consider favorable.</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Certificate of Incorporation, Bylaws and the DGCL contain provisions that could have the effect of rendering more difficult, delaying, or preventing an acquisition deemed undesirable by our Board and therefore depress the trading price of our common stock. These provisions could also make it difficult for stockholders to take certain actions, including electing directors who are not nominated by the then-current members of our Board or taking other corporate actions, including effecting changes in management. Among other things, our Certificate of Incorporation and Bylaws include provisions regarding:</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ability of our Board to issue shares of our preferred stock, known as “blank check” preferred stock, and to fix by resolution or resolutions the designations, powers, preferences and rights, and the qualifications, limitations or restrictions thereof, of any series of our preferred stock, without stockholder approval, which could be used to significantly dilute the ownership of a hostile acquirer;</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limitation of the liability of, and the indemnification of, our directors and officers;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right, subject to the rights of holders of our preferred stock to elect directors under specific circumstances, of our Board to appoint a director to fill a vacancy or unfilled seat created by the expansion of our Board or the resignation, death or removal of a director, which prevents stockholders from being able to fill vacancies or other unfilled seats on our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requirement, so long as our Board is classified, that directors may only be removed from our Board for cause and upon the affirmative vote of the holders of at least the majority of the total voting power of our issued and outstanding common stock entitled to vote in the election of directors, voting as a single class;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requirement that, subject to the terms of any series of our preferred stock, a special meeting of stockholders may be called only by: (i) our Board acting pursuant to a resolution adopted by a majority of the directors then serving on our Board; (ii) the chairperson of our Board; or (iii) our Chief Executive Officer or president and the explicit prohibition on stockholders calling a special meeting, which could delay the ability of stockholders to force consideration of a proposal or to take action, including the removal of directors;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controlling the procedures for the conduct and scheduling of our Board and stockholder meetings;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requirement for the affirmative vote of holders of at least 66 2/3% of the total voting power of all of our then outstanding voting securities entitled to vote thereon, voting together as a single class, to amend or modify certain provisions in our Certificate of Incorporation which could preclude stockholders from bringing matters before annual or special meetings of stockholders and delay changes in our Board and also may inhibit the ability of an acquirer to effect such amendments to facilitate an unsolicited takeover attempt;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ability of our Board to alter or amend our Bylaws, which may allow our Board to take additional actions to prevent an unsolicited takeover and inhibit the ability of an acquirer to amend our Bylaws to facilitate an unsolicited takeover attempt; and</w:t>
      </w:r>
    </w:p>
    <w:p>
      <w:pPr>
        <w:pStyle w:val="TextBody"/>
        <w:bidi w:val="0"/>
        <w:spacing w:lineRule="auto" w:line="288" w:before="0" w:after="240"/>
        <w:ind w:left="0" w:right="0" w:hanging="360"/>
        <w:jc w:val="left"/>
        <w:rPr>
          <w:color w:val="000000"/>
        </w:rPr>
      </w:pPr>
      <w:r>
        <w:rPr>
          <w:color w:val="000000"/>
        </w:rPr>
        <w:t>•    </w:t>
      </w:r>
      <w:r>
        <w:rPr>
          <w:rFonts w:ascii="Times New Roman;serif" w:hAnsi="Times New Roman;serif"/>
          <w:b w:val="false"/>
          <w:color w:val="000000"/>
          <w:sz w:val="20"/>
        </w:rPr>
        <w:t>advance notice procedures with which our stockholders must comply to nominate candidates to our Board or to propose matters to be acted upon at a stockholders’ meeting, which could preclude stockholders from bringing matters before annual or special meetings of stockholders and delay changes in our Board and also may discourage or deter a potential acquirer from conducting a solicitation of proxies to elect the acquirer’s own slate of directors or otherwise attempting to obtain our control.</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These provisions, alone or together, could delay or prevent hostile takeovers and changes in control or changes in our Board or management.</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As a Delaware corporation, we are generally subject to provisions of Delaware law, including the DGCL. </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Any provision of our Certificate of Incorporation, Bylaws or Delaware law that has the effect of delaying or preventing a change in control could limit the opportunity for stockholders to receive a premium for their shares of our common stock and could also affect the price that some investors are willing to pay for our common stock.</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Bylaws designate a state or federal court located within the State of Delaware as the exclusive forum for certain types of actions and proceedings, and the federal district courts as the exclusive forum for Securities Act claims, which could limit our stockholders’ ability to choose the judicial forum for disputes with us or our directors, officers, stockholders or employees.</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Our Bylaws provide that, unless we consent in writing to the selection of an alternative forum, the Court of Chancery of the State of Delaware (or, if the Court of Chancery does not have jurisdiction, another state court in Delaware or the U.S. District Court for the District of Delaware) shall, to the fullest extent permitted by law, be the sole and exclusive forum for (i) any derivative action, suit or proceeding brought on our behalf, (ii) any action, suit or proceeding asserting a claim of breach of a fiduciary duty owed by any of our director, stockholder, officer or other employee to us or our stockholders, (iii) any action, suit or proceeding arising pursuant to any provision of the DGCL, our Certificate of Incorporation or our Bylaws (as either may be amended from time to time) or (iv) any action, suit or proceeding asserting a claim governed by the internal affairs doctrine, except for, as to each of (i) through (iv) above, any claim as to which such court determines that there is an indispensable party not subject to the jurisdiction of such court (and the indispensable party does not consent to the personal jurisdiction of such court within 10 days following such determination). If any action the subject matter of which is within the scope of the immediately preceding sentence is filed in a court other than the Court of Chancery in the State of Delaware (a “Foreign Action”) in the name of any stockholder, such stockholder shall be deemed to have consented to (i) the personal jurisdiction of the state and federal courts in the State of Delaware in connection with any action brought in any such court to enforce the provisions of the immediately preceding sentence and (ii) having service of process made upon such stockholder in any such action by service upon such stockholder’s counsel in the Foreign Action as agent for such stockholder. Our Bylaws also provide that, to the fullest extent permitted by law, the federal district courts of the United States will be the sole and exclusive forum for the resolutions of any complaint asserting a cause or causes of action arising under the Securities Act. This provision in our Bylaws would not address or apply to claims that arise under the Exchange Act. Section 27 of the Exchange Act creates exclusive federal jurisdiction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231F20"/>
          <w:sz w:val="20"/>
        </w:rPr>
      </w:pPr>
      <w:r>
        <w:rPr>
          <w:rFonts w:ascii="Times New Roman;serif" w:hAnsi="Times New Roman;serif"/>
          <w:b w:val="false"/>
          <w:color w:val="231F20"/>
          <w:sz w:val="20"/>
        </w:rPr>
        <w:t>over all suits brought to enforce any duty or liability created by the Exchange Act or the rules and regulations under the Exchange Act. To the extent these provisions could be construed to apply to such claims, there is uncertainty as to whether a court would enforce such provisions in connection with such claims, and stockholders cannot waive compliance with the federal securities laws and the rules and regulations under the federal securities laws.</w:t>
      </w:r>
    </w:p>
    <w:p>
      <w:pPr>
        <w:pStyle w:val="TextBody"/>
        <w:bidi w:val="0"/>
        <w:spacing w:lineRule="auto" w:line="288" w:before="22"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Any person or entity purchasing, holding or otherwise acquiring any interest in any of our securities will be deemed to have notice of and consented to the provisions of our Bylaws described in the preceding paragraph. These exclusive-forum provisions may limit a stockholder’s ability to bring a claim in a judicial forum of its choosing for disputes with us or our directors, officers, stockholder or other employees, which may discourage lawsuits against us and our directors, officers, stockholders and other employees. The enforceability of similar exclusive-forum provisions in other companies’ certificates of incorporation has been challenged in legal proceedings, and it is possible that, in connection with one or more actions or proceedings described above, a court could rule that this provision in our Bylaws is inapplicable or unenforceable. If a court were to find these exclusive-forum provisions to be inapplicable or unenforceable in an action, we may incur additional costs associated with resolving the dispute in other jurisdictions, which could harm our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Certificate of Incorporation does not limit the ability of the SPAC Sponsor, certain affiliates or funds associated with the SPAC Sponsor or our non-employee directors to compete with us.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Ares Acquisition Holdings II LP (the "SPAC Sponsor"), certain affiliates or funds associated with the SPAC Sponsor and our non-employee directors and their respective affiliates engage in a broad spectrum of activities, including investments in similar business activities or lines of business in which we now engage or propose to engage. In the ordinary course of their business activities, the SPAC Sponsor, certain affiliates or funds associated with the SPAC Sponsor and our non-employee directors and their respective affiliates may engage in activities in which their interests conflict with our interests or those of our stockholders. Our Certificate of Incorporation provides that, to the fullest extent permitted by law, none of the SPAC Sponsor, certain affiliates or funds associated with the SPAC Sponsor, our non-employee directors or any of their respective affiliates (including any non-employee director who serves as our officer in such person’s director and officer capacities) has any duty to refrain from engaging, directly or indirectly, in the same business activities or similar business activities or lines of business in which we engage or propose to engage or otherwise competing with us, our stockholders, or any of our affiliates.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Further, to the fullest extent permitted by law, in the event that any of the SPAC Sponsor, certain affiliates or funds associated with the SPAC Sponsor and our non-employee directors and their respective affiliates acquires knowledge of a potential transaction or other business opportunity which may be a corporate opportunity for itself, herself or himself and us or any of our affiliates, they will have no duty to communicate or offer such transaction or other business opportunity to us or any of our affiliates and will not be liable to us or our stockholders or to any of our affiliates for breach of any fiduciary duty as a stockholder, director or officer of ours solely by reason of the fact that they pursue or acquire such corporate opportunity for themselves, offer or direct such corporate opportunity to another Person, or do not communicate information regarding such corporate opportunity to us or any of our affiliates. The SPAC Sponsor, certain affiliates or funds associated with the SPAC Sponsor and their respective directors and officers may pursue, in their capacities other than as directors of our Board, acquisition opportunities that may be complementary to our business, and, as a result, those acquisition opportunities may not be available to us. The SPAC Sponsor, certain affiliates or funds associated with the SPAC Sponsor and their respective directors and officers may have an interest in pursuing acquisitions, divestitures and other transactions that, in its judgment, could enhance its investment, even though such transactions might involve risks to you.</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business and operations could be negatively affected if we become subject to any securities litigation or stockholder activism, which could cause us to incur significant expense, hinder execution of business and growth strategy and impact our stock price.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the stock price of our common stock or other reasons may in the future cause it to become the target of securities litigation or stockholder activism. Securities litigation and stockholder activism, including potential proxy contests, could result in substantial costs and divert management’s and our Board’s attention and resources from our business, which may adversely affect our business, financial condition and results of operations. Additionally, such securities litigation and stockholder activism could give rise to perceived uncertainties as to our future, adversely affect its relationships with service providers and make it more difficult to attract and retain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qualified personnel. We may also be required to incur significant legal fees and other expenses related to any securities litigation and activist stockholder matters.</w:t>
      </w:r>
    </w:p>
    <w:p>
      <w:pPr>
        <w:pStyle w:val="TextBody"/>
        <w:bidi w:val="0"/>
        <w:spacing w:lineRule="auto" w:line="288" w:before="0" w:after="36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Further, our stock price could be subject to significant fluctuation or otherwise be adversely affected by the events, risks and uncertainties of any securities litigation and stockholder activism.</w:t>
      </w:r>
    </w:p>
    <w:p>
      <w:pPr>
        <w:pStyle w:val="TextBody"/>
        <w:bidi w:val="0"/>
        <w:spacing w:lineRule="auto" w:line="288" w:before="0" w:after="240"/>
        <w:jc w:val="left"/>
        <w:rPr>
          <w:rFonts w:ascii="Times New Roman;serif" w:hAnsi="Times New Roman;serif"/>
          <w:b/>
          <w:color w:val="231F20"/>
          <w:sz w:val="20"/>
        </w:rPr>
      </w:pPr>
      <w:r>
        <w:rPr>
          <w:rFonts w:ascii="Times New Roman;serif" w:hAnsi="Times New Roman;serif"/>
          <w:b/>
          <w:color w:val="231F20"/>
          <w:sz w:val="20"/>
        </w:rPr>
        <w:t>Risks Related to Our Warrants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may amend the terms of the Public Warrants in a manner that may be adverse to holders of Public Warrants with the approval by the holders of at least 50% of the then-outstanding Public Warrants. As a result, the exercise price of your Public Warrants could be increased, the exercise period could be shortened and the number of common stock purchasable upon exercise of a Public Warrant could be decreased, all without your approval.</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Public Warrants are issued under a Warrant Agreement (the “Warrant Agreement”). The Warrant Agreement provides that the terms of the Public Warrants may be amended with the approval of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and, solely with respect to any amendment to the terms of the Private Placement Warrants or any provision of the purchase agreement with respect to the Private Placement Warrants, 50% of the number of the then-outstanding Private Placement Warrants. Examples of such amendments could be to increase the exercise price of the Warrants, convert the Warrants into cash, shorten the exercise period or decrease the number of common stock purchasable upon exercise of a Warrant.</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The Warrant Agreement designates the courts of the State of New York or the U.S. District Court for the Southern District of New York as the sole and exclusive forum for certain types of actions and proceedings that may be initiated by holders of our Public Warrants, which could limit the ability of Public Warrant holders to obtain a favorable judicial forum for disputes with us.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Subject to applicable law, the Warrant Agreement provides that: (i) any action, proceeding, claim or dispute against us arising out of or relating in any way to the Warrant Agreement, including under the Securities Act, will be brought and enforced in the courts of the State of New York or the U.S.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 However, with respect to any complaint asserting a cause of action arising under the Securities Act or the rules and regulations promulgated thereunder, there is uncertainty as to whether a court would enforce this provision, because Section 22 of the Securities Act creates concurrent jurisdiction for state and federal courts over all suits brought to enforce any duty or liability created by the Securities Act or the rules and regulations thereunder.</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Notwithstanding the foregoing, these provisions of the Warrant Agreement will not apply to suits brought to enforce any liability or duty created by the Exchange Act or any other claim for which the federal district courts of the U.S. are the sole and exclusive forum. Any person or entity purchasing or otherwise acquiring any interest in any of the Public Warrants shall be deemed to have notice of and to have consented to the forum provisions in the Warrant Agreement. If any action, the subject matter of which is within the scope the forum provisions of the Warrant Agreement, is filed in a court other than a court of the State of New York or the U.S. District Court for the Southern District of New York (a “foreign action”) in the name of any holder of the Public Warrants, such holder shall be deemed to have consented to: (i) the personal jurisdiction of the state and federal courts located in the State of New York in connection with any action brought in any such court to enforce the forum provisions (an “enforcement action”), and (ii) having service of process made upon such warrant holder in any such enforcement action by service upon such warrant holder’s counsel in the foreign action as agent for such warrant holder.</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This choice-of-forum provision may limit a warrant holder’s ability to bring a claim in a judicial forum that it finds favorable for disputes with us, which may discourage such lawsuits. Alternatively, if a court were to find this provision of the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members of our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There is no guarantee that our Public Warrants will ever be in the money, and they may expire worthless.</w:t>
      </w:r>
    </w:p>
    <w:p>
      <w:pPr>
        <w:pStyle w:val="TextBody"/>
        <w:bidi w:val="0"/>
        <w:spacing w:lineRule="auto" w:line="288" w:before="13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exercise price for our Public Warrants is $9.28 per share of our common stock, subject to adjustment. There is no guarantee that the Public Warrants will be in the money prior to their expiration, and as such, our Public Warrants may expire worthless.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Your Public Warrants may be redeemed prior to their exercise at a time that is disadvantageous to you.</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may redeem outstanding Public Warrants at any time after they become exercisable and prior to their expiration, at a price of $0.01 per warrant, if the closing price of our common stock equals or exceeds $14.53 per share (as adjusted for adjustments to the number of shares issuable upon exercise or the exercise price of a warrant) for any 20 trading days within a 30-trading day period ending on the third trading day prior to the date on which we send the notice of redemption to the warrant holders, and if certain other conditions are met. If and when the Public Warrants become redeemable by us, we may exercise our redemption right even if we are unable to register or qualify the underlying securities for sale under all applicable state securities laws. As a result, we may redeem Public Warrants even if the holders are otherwise unable to exercise the warrants. Redemption of the outstanding Public Warrants could force you to: (i) exercise your Public Warrants and pay the exercise price therefor at a time when it may be disadvantageous for you to do so; (ii) sell your Public Warrants at the then- current market price when you might otherwise wish to hold your Public Warrants; or (iii) accept the nominal redemption price which, at the time the outstanding warrants are called for redemption, is likely to be substantially less than the market value of your Public Warrants.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You may only be able to exercise your Public Warrants on a “cashless basis” under certain circumstances, and if you do so, you will receive fewer shares of our common stock from such exercise than if you were to exercise such Public Warrants for cash.</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Warrant Agreement provides that in the following circumstances holders of Public Warrants who seek to exercise their Public Warrants will not be permitted to do for cash and will, instead, be required to do so on a cashless basis in accordance with Section 3(a)(9) of the Securities Act: (i) if the shares of our common stock issuable upon exercise of the Public Warrants are not registered under the Securities Act in accordance with the terms of the Warrant Agreement; (ii) if we have so elected and the shares of our common stock are at the time of any exercise of a Public Warrant not listed on a Stock Exchange such that they satisfy the definition of “covered securities” under Section 18(b)(1) of the Securities Act; and (iii) if we have so elected and we call the Public Warrants for redemption.</w:t>
      </w:r>
    </w:p>
    <w:p>
      <w:pPr>
        <w:pStyle w:val="TextBody"/>
        <w:bidi w:val="0"/>
        <w:spacing w:lineRule="auto" w:line="288" w:before="206"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If you exercise your Public Warrants on a cashless basis, you would pay the warrant exercise price by surrendering the Public Warrants for that number of shares of our common stock equal to the quotient obtained by dividing: (i) the product of the number of shares of our common stock underlying the Public Warrants, multiplied by the excess of the “fair market value” of shares of our common stock (as defined in the next sentence) over the exercise price of the Public Warrants by (ii) the fair market value. The “fair market value” is the average reported closing price of the shares of our common stock for the ten trading days ending on the third trading day prior to the date on which the notice of exercise is received by the warrant agent or on which the notice of redemption is sent to the holders of Public Warrants, as applicable. As a result, you would receive fewer shares of our common stock from such exercise than if you were to exercise such Public Warrants for cash.</w:t>
      </w:r>
    </w:p>
    <w:p>
      <w:pPr>
        <w:pStyle w:val="TextBody"/>
        <w:bidi w:val="0"/>
        <w:spacing w:lineRule="auto" w:line="288" w:before="206"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ability to require holders of our Public Warrants to exercise such Public Warrants on a cashless basis after we call the Public Warrants for redemption will cause holders to receive fewer shares of our common stock upon exercise than they would have received had they been able to pay the exercise price of their Public Warrants in cash.</w:t>
      </w:r>
    </w:p>
    <w:p>
      <w:pPr>
        <w:pStyle w:val="TextBody"/>
        <w:bidi w:val="0"/>
        <w:spacing w:lineRule="auto" w:line="288" w:before="202" w:after="36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If we call the Public Warrants for redemption, we may require all holders that wish to exercise Public Warrants to do so on a cashless basis. If we elect to require holders to exercise their Public Warrants on a cashless basis or if holders elect to do so when there is no effective registration statement, the number of shares of our common stock received by a holder upon exercise will be less than if such holder exercised his or her Public Warrant for cash. For example, if the holder is exercising 1,000 Public Warrants at $10.00 per share through a cashless exercise when our common stock has a fair market value of $20.00 per share, then upon the cashless exercise the holder will receive 500 shares of our common stock. The holder would have received 1,000 shares of our common stock if the exercise price was paid in cash. This will have the effect of reducing the potential “upside” of the holder’s investment in us because the warrant holder will hold a smaller number of shares of our common stock upon a cashless exercise of the Public Warrants.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1" w:after="240"/>
        <w:jc w:val="left"/>
        <w:rPr>
          <w:rFonts w:ascii="Times New Roman;serif" w:hAnsi="Times New Roman;serif"/>
          <w:b/>
          <w:color w:val="231F20"/>
          <w:sz w:val="20"/>
        </w:rPr>
      </w:pPr>
      <w:r>
        <w:rPr>
          <w:rFonts w:ascii="Times New Roman;serif" w:hAnsi="Times New Roman;serif"/>
          <w:b/>
          <w:color w:val="231F20"/>
          <w:sz w:val="20"/>
        </w:rPr>
        <w:t>Risks Related to Our Organizational Structure</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The future resales of substantial amounts of our common stock in the public markets, or the perception that such sales could occur, may cause the market price of our securities to drop significantly, even if our business is doing well.</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Sales of a substantial number of shares of our common stock in the public markets may occur at any time. Any future sales of a substantial number of shares of our common stock in the public market or the perception in the market that the holders of a large number of shares intend to sell shares, may reduce the market price of our common stock. Despite such a decline in the public trading price, certain stockholders may still experience a positive rate of return on the securities they purchased due to the lower price at which they purchased their shares compared to other public investors and be incentivized to sell its securities when others are not.</w:t>
      </w:r>
    </w:p>
    <w:p>
      <w:pPr>
        <w:pStyle w:val="TextBody"/>
        <w:bidi w:val="0"/>
        <w:spacing w:lineRule="auto" w:line="288" w:before="0" w:after="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Under our Bylaws, all shares held by the SPAC Sponsor immediately prior to the Closing and all shares of our common stock issued or issuable as consideration under the Business Combination Agreement to Legacy Kodiak Securityholders are subject to lockup restrictions, subject to certain customary and other exceptions, until September 24, 2026 (the “Lockup Period”). Notwithstanding the foregoing, if the closing price of our common stock equals or exceeds $12.00 for 20 of 30 consecutive trading days commencing on or after February 21, 2026, then the Lockup Period will terminate. In addition, in connection with the Closing, our Board waived the lockup restrictions with respect to (i) shares of our common stock issued upon the conversion of our second lien loans, other than those shares of our common stock to be issued to AAC II Holdings II LP, an affiliate of the SPAC Sponsor (the "SPAC Sponsor Affiliate Investor") with respect to the initial second lien loans provided by the SPAC Sponsor Affiliate Investor and to an entity affiliated with one of our directors and (ii) 226 shares of our common stock for each Legacy Kodiak securityholder that was not an affiliate of Legacy Kodiak. Following the expiration of the Lockup Period, the applicable stockholders will not be restricted from selling shares of our common stock held by them, other than by applicable securities laws. As such, sales of a substantial number of shares of our common stock in the public market may occur at such time. As restrictions on resale end and registration statements are available for use, the sale or possibility of sale of these shares may have the effect of increasing the volatility in our share price or the market price of our securities may decline if the holders of currently restricted shares sell them or are perceived by the market as intending to sell them.</w:t>
      </w:r>
    </w:p>
    <w:p>
      <w:pPr>
        <w:pStyle w:val="TextBody"/>
        <w:bidi w:val="0"/>
        <w:spacing w:before="0" w:after="0"/>
        <w:ind w:left="0" w:right="0" w:firstLine="490"/>
        <w:jc w:val="left"/>
        <w:rPr/>
      </w:pPr>
      <w:r>
        <w:rPr/>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Further, a significant number of shares of our common stock are subject to issuance upon exercise of the Warrants, and the number of shares covered by the Warrants may increase. For example, the PIPE Warrants and Non-Redemption Agreement Warrants contain anti-dilution adjustments, including with respect to certain future issuances or sales of common stock at prices less than the exercise price then in effect. Further, future adjustments to the exercise price of the Warrants may result in substantial additional dilution to existing stockholders and may depress the market price of our common stock. For example, pursuant to the Warrant Agreement, the exercise price per share of the Private Placement Warrants and the Public Warrants were adjusted from $11.50 to $9.28 after trading closed on October 20, 2025. Similarly, for the PIPE Warrants and Non-Redemption Agreement Warrants, if the trailing 45-day volume-weighted average price of common stock on the 46th trading day following March 24, 2026 is less than the exercise price then in effect, the exercise price will be adjusted to the greater of (i) such volume-weighted average price and (ii) $8.00.</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Further, if the trailing 45-day volume-weighted average price of common stock on the 46th trading day following June 24, 2026 is less than the exercise price then in effect, the exercise price will be adjusted to the greater of (i) such volume-weighted average price and (ii) $6.00. The issuance of the shares of common stock underlying these Warrants or any adjustments to the exercise price of such Warrants will have a dilutive impact on other stockholders and may reduce the market price of our common stock.</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each share of our Series A Preferred Stock is convertible into common stock at any time at the option of the holder at a rate equal to the Accrued Value, divided by the then-applicable conversion price, plus any accrued but unpaid dividends on such share. In the event we elect to pay dividends in kind, the Accrued Value will increase, thereby increasing the number of shares of our common stock into which each share of our Series A Preferred Stock is convertible and the related voting power of the Series A Preferred Stock, which will be dilutive to other stockholders. For example, we elected to pay the December 2025 accrued dividends on the Series A Preferred Stock in kind, which resulted in the Accrued Value of the Series A Preferred Stock increasing from $1,200.00 to $1,222.66. </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The conversion price is initially $12.00, but is subject to adjustments for stock dividends, splits, combinations and similar events and customary anti-dilution adjustments, including with respect to certain future issuances or sales of common stock at prices less than the conversion price then in effect, including the potential equity and equity-linked financing we are expecting to complete in the near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5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addition, if the trailing 45-day volume-weighted average price of common stock on the 46th trading day following March 24, 2026 is less than the conversion price then in effect, the conversion price will be adjusted to the greater of (i) such volume weighted average price and (ii) $8.00. Further, if the trailing 45-day volume-weighted average price of common stock on the 46th trading day following June 24, 2026 is less than the conversion price then in effect, the conversion price will be adjusted to the greater of (i) such volume weighted average price and (ii) $6.00. The conversion of our Series A Preferred Stock to such shares of common stock or any adjustments to the conversion price will have a dilutive impact on other stockholders and may reduce the market price of our common stock.</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Additionally, we have filed a registration statement to register shares reserved for future issuance under our 2025 Plan and the ESPP. Subject to the satisfaction of applicable vesting restrictions and the expiration or waiver of the lock-up restrictions discussed above applicable to certain of the shares, the shares issued thereunder will be available for immediate resale in the public market. These sales, any future sales of a substantial number of shares of our common stock in the public market or the perception in the market that the holders of a large number of shares intend to sell shares, may reduce the market price of our common stock.</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have incurred and will continue to incur significant expenses and administrative burdens as a public company, which may adversely affect our business, prospects,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As a public company, we face increased legal, accounting, administrative and other costs and expenses that we did not incur as a private company. The Exchange Act, Sarbanes-Oxley Act, including the requirements of Section 404, as well as rules and regulations subsequently implemented by the SEC, the Dodd-Frank Wall Street Reform and Consumer Protection Act of 2010 and the rules and regulations promulgated and to be promulgated thereunder, as well as the Public Company Accounting Oversight Board and the stock exchanges, impose additional reporting and other obligations on public companies. The development and implementation of the standards and controls necessary for us to achieve the level of accounting standards required of a public company in the United States may require costs greater than expected. We expect to expand our employee base and hire additional employees to support our operations as a public company, which will increase our operating costs in future periods.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Compliance with public company requirements has increased costs and made certain activities more time- consuming. A number of these requirements require us to carry out activities we have not done previously. For example, as a public company, we maintain board committees and internal controls and disclosure controls and procedures. In addition, we continue to incur expenses associated with SEC reporting requirements. Furthermore, if any issues in complying with those requirements are identified (for example, if the auditors identify a material weakness or significant deficiency in the internal control over financial reporting), we may incur additional costs rectifying those issues, and the existence of those issues may adversely affect our reputation or investor perceptions of us. In addition, as a public company, it is also more expensive to maintain director and officer liability insurance. Risks associated with our status as a public company may make it more difficult to attract and retain qualified persons to serve on our Board or as executive officers. The additional reporting and other obligations imposed by these rules and regulations have and will continue to increase legal and financial compliance costs and the costs of related legal, accounting and administrative activities. These increased costs will require us to reserve a significant amount of money that may otherwise be used to expand the business and achieve strategic objectives. Advocacy efforts by stockholders and third parties may also prompt additional changes in governance and reporting requirements, which may further increase costs.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management team has limited experience in operating a public company.</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Our executive officers have limited experience in the management of a publicly traded company. Our management team may not successfully or effectively manage our recent transition to operating as a public company, which is subject to significant regulatory oversight and reporting obligations under federal securities laws and continuous scrutiny of securities analysts and investors. Their limited experience in dealing with the increasingly complex laws pertaining to public companies may be a significant disadvantage in that it is likely that an increasing amount of their time may be devoted to these activities which will result in less time being devoted to our management and growth. </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Claims for indemnification by our directors and officers may reduce our available funds to satisfy successful third-party claims against us and may reduce the amount of money available to us.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Certificate of Incorporation and Bylaws provide that we will indemnify our directors and officers, in each case to the fullest extent permitted by Delaware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54"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addition, as permitted by Section 145 of the DGCL, our Bylaws and our indemnification agreements that we entered into with our directors and officers provide that: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we will indemnify our directors and officers for serving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we may, in our discretion, indemnify employees and agents in those circumstances where indemnification is permitted by applicable law;</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we are not obligated pursuant to our Bylaws to indemnify a person with respect to proceedings initiated by that person against us or our other indemnitees, except with respect to proceedings authorized by our Board or brought to enforce a right to indemnification;</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rights conferred in our Bylaws are not exclusive, and we are authorized to enter into indemnification agreements with our directors, officers, employees and agents and to obtain insurance to indemnify such persons; and</w:t>
      </w:r>
    </w:p>
    <w:p>
      <w:pPr>
        <w:pStyle w:val="TextBody"/>
        <w:bidi w:val="0"/>
        <w:spacing w:lineRule="auto" w:line="288" w:before="0" w:after="240"/>
        <w:ind w:left="0" w:right="0" w:hanging="360"/>
        <w:jc w:val="left"/>
        <w:rPr>
          <w:color w:val="000000"/>
        </w:rPr>
      </w:pPr>
      <w:r>
        <w:rPr>
          <w:color w:val="000000"/>
        </w:rPr>
        <w:t>•    </w:t>
      </w:r>
      <w:r>
        <w:rPr>
          <w:rFonts w:ascii="Times New Roman;serif" w:hAnsi="Times New Roman;serif"/>
          <w:b w:val="false"/>
          <w:color w:val="000000"/>
          <w:sz w:val="20"/>
        </w:rPr>
        <w:t>we may not retroactively amend our Bylaws provisions to reduce our indemnification obligations to directors, officers, employees and agents.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do not intend to pay dividends for the foreseeable future.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have never declared or paid any cash dividends on our capital stock and do not intend to pay any cash dividends in the foreseeable future except for our dividend obligations with respect to the Series A Preferred Stock. We expect to retain future earnings, if any, to fund the development and growth of our business. Any future determination to pay dividends on our capital stock will be at the discretion of our Board subject to the limitations under the Certificate of Designation for our Series A Preferred Stock. Accordingly, investors must rely on sales of our securities after price appreciation, which may never occur, as the only way to realize any future gains on their investments.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The market price and trading volume of our common stock may be volatile and may decline significantly.</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stock markets, including Nasdaq, have from time to time experienced significant price and volume fluctuations. Even if an active, liquid and orderly trading market develops and is sustained for our common stock, the market price of our common stock may be volatile and may decline significantly. In addition, the trading volume in our common stock may fluctuate and cause significant price variations to occur. If the market price of our common stock declines significantly, you may be unable to resell your shares at an attractive price, or at all. We cannot assure you that the market price of our common stock will not fluctuate widely or decline significantly in the future in response to a number of factors, including, among others, the following:</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realization of any of the risk factors presented in this Annual Report on Form 10-K;</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the industries in which we and our customers operate;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developments involving our competitors;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laws and regulations affecting our business;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actual or anticipated differences in our estimates, or in the estimates of analysts, for our revenues, results of operations, level of indebtedness, liquidity or financial condition;</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additions and departures of key personnel;</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failure to comply with the requirements of the listing exchange;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failure to comply with the Sarbanes-Oxley Act or other laws or regulations;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future issuances, sales, resales or repurchases or anticipated issuances, sales, resales or repurchases, of our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5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publication of research reports by securities analysts about us or our competitors or our industry;</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public’s reaction to our press releases, other public announcements and filings with the SEC;</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actions by stockholders, including sales of the securities;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performance and market valuations of other similar companies;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commencement of, or involvement in, litigation involving us;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broad disruptions in the financial markets, including sudden disruptions in the credit markets;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speculation in the press or investment community;</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actual, potential or perceived control, accounting or reporting problems;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accounting principles, policies and guidelines; and</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other events or factors, including those resulting from infectious diseases, health epidemics and pandemics, natural disasters, war, acts of terrorism or responses to these events.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the past, securities class-action litigation has often been instituted against companies following periods of volatility in the market price of their shares. This type of litigation may result in substantial costs and divert our management’s attention and resources, which may have a material adverse effect on us.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If securities or industry analysts cease publishing research or reports about us, our business, or the market in which we operate, or if they change their recommendations regarding our securities adversely, the price and trading volume of our securities may decline.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trading market for our securities will be influenced by the research and reports that industry or securities analysts may publish about us, our business, market or competitors. If any of the analysts who cover or may in the future cover us change their recommendation regarding our shares of common stock adversely, or provide more favorable relative recommendations about our competitors, the price of our common stock may likely decline. If any analyst who covers or may in the future cover us were to cease our coverage of us or fail to regularly publish reports on it, we may lose visibility in the financial markets, which in turn may cause our share price or trading volume to decline.</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qualify as an “emerging growth company” within the meaning of the Securities Act. If we take advantage of certain exemptions from disclosure requirements available to emerging growth companies, this could make our securities less attractive to investors and may make it more difficult to compare our performance with other public companies.</w:t>
      </w:r>
    </w:p>
    <w:p>
      <w:pPr>
        <w:pStyle w:val="TextBody"/>
        <w:bidi w:val="0"/>
        <w:spacing w:lineRule="auto" w:line="288" w:before="123" w:after="36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qualify as an “emerging growth company” as defined in Section 2(a)(19) of the Securities Act, as modified by the JOBS Act. As such, we are eligible for and intend to take advantage of certain exemptions or reduced disclosure obligations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404(b) of the Sarbanes-Oxley Act,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may deem important. We will remain an emerging growth company until the earliest of (i) the last day of the fiscal year in which the market value of our common stock that are held by non-affiliates exceeds $700 million as of June 30 of that fiscal year, (ii) the last day of the fiscal year in which we have total annual gross revenue of $1.235 billion or more during such fiscal year, (iii) the date on which we have issued more than $1 billion in non-convertible debt in the prior three-year period or (iv) December 31, 2028. 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We have elected not to opt out of such extended transition period and, therefore, we may not be subject to the same new or revised accounting standards as other public companies that are not emerging growth companies. This may make comparison of our financial statements with those of public companies that comply with public company effective dates difficult or impossible because of the potential differences in accounting standards used. Investors may find our common stock less attractive because we rely on these exemptions or reduced disclosure obligations, which may result in a less active trading market for our common stock and its price may be more volatile.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56"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231F20"/>
          <w:sz w:val="20"/>
        </w:rPr>
      </w:pPr>
      <w:r>
        <w:rPr>
          <w:rFonts w:ascii="Times New Roman;serif" w:hAnsi="Times New Roman;serif"/>
          <w:b/>
          <w:color w:val="231F20"/>
          <w:sz w:val="20"/>
        </w:rPr>
        <w:t>General and Macroeconomic Risks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business is subject to the risks of earthquakes, fire, floods and other natural catastrophic events, global pandemics, and interruptions by man-made problems, such as terrorism. Material disruptions of our business or information systems resulting from these events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 significant natural disaster, such as an earthquake, fire, flood, hurricane or significant power outage or other similar events, such as infectious disease outbreaks or pandemic events, may adversely affect our business, financial condition and results of operations. In particular, our corporate headquarters are located in the San Francisco Bay Area, a region known for seismic activity and increasingly for the threat of fires. Natural disasters and associated events may occur in the future with increasing frequency or severity as a result of climate change, which could cause business interruptions. In addition, natural disasters, acts of terrorism or war may cause disruptions in our remaining operations, our or our partners’ businesses, our suppliers’ or the economy as a whole. We also rely on information technology systems to communicate among our workforce and with third parties. Any disruption to our communications, whether caused by a natural disaster or by man-made problems, such as power disruptions, may adversely affect our business. We do not have a formal disaster recovery plan or policy in place and do not currently require that our partners have such plans or policies in place. All of the aforementioned risks may be further increased if our disaster recovery plans prove to be inadequate. Any of the foregoing may result in business interruptions that may adversely affect our business, financial condition and results of operations. Further, the insurance we maintain may be insufficient to cover our losses resulting from such business interruptions, and any incidents may result in loss of, or increased costs of, such insurance.</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General business and economic conditions, and risks related to the long-haul trucking, industrial trucking, oil and gas and defense ecosystems, may adversely affect our business, financial condition, and results of operations.</w:t>
      </w:r>
    </w:p>
    <w:p>
      <w:pPr>
        <w:pStyle w:val="TextBody"/>
        <w:bidi w:val="0"/>
        <w:spacing w:lineRule="auto" w:line="288" w:before="0" w:after="36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performance is subject to macroeconomic conditions that are beyond our control and the effect of such conditions on levels of activity in ground transportation. Such macroeconomic factors include interest rates, the rate of inflation, unemployment levels, the availability of government stimulus and unemployment compensation payments, the impact of a federal government shutdown, supply chain constraints, trade barriers and sanctions, geopolitical conflicts, natural disasters, health epidemics, gasoline prices, adjustments in monthly payments, adjustable-rate mortgages and other debt payments, and consumer perceptions of economic condition. For example, changes in macroeconomic conditions due to actual or proposed tariff changes could increase consumer prices, unemployment rates, and inflation, each of which in turn could affect consumer spending and the amount of products requiring ground transportation by our customers or partners. A deterioration of macroeconomic conditions may therefore cause fluctuations in our ability to scale our commercial operations or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 Management and Strategy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have implemented a comprehensive cybersecurity risk management program designed to identify, assess, and mitigate material risks from cybersecurity threats to our technology stack, products, and confidential information. Integrated with our overall enterprise risk management system, this program employs a risk-based approach designed to protect the confidentiality, integrity, and availability of our information systems. Our Cybersecurity Incident Response Plan (“CSIRP”) defines roles and responsibilities for incident handling and functions as an integral component within our broader program, which combines proactive risk identification and mitigation with responsive threat management.</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Cybersecurity is one of Kodiak’s six critical safety pillars. Management is committed to minimize defects regarding IT infrastructure and maintains an active culture of excellence designed to reduce risks that could harm individuals or the Company’s finances and reputation. Our strategy includes:</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0"/>
        </w:rPr>
        <w:t>Identification and Detection</w:t>
      </w:r>
      <w:r>
        <w:rPr>
          <w:rFonts w:ascii="Times New Roman;serif" w:hAnsi="Times New Roman;serif"/>
          <w:b w:val="false"/>
          <w:color w:val="000000"/>
          <w:sz w:val="20"/>
        </w:rPr>
        <w:t>: Active monitoring of systems and networks to identify unauthorized access, misuse, or compromise of protected information, including personal data.</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0"/>
        </w:rPr>
        <w:t>Third-Party Risk Management</w:t>
      </w:r>
      <w:r>
        <w:rPr>
          <w:rFonts w:ascii="Times New Roman;serif" w:hAnsi="Times New Roman;serif"/>
          <w:b w:val="false"/>
          <w:color w:val="000000"/>
          <w:sz w:val="20"/>
        </w:rPr>
        <w:t xml:space="preserve">: We engage external assessors and consultants to independently evaluate our information security program, conduct penetration testing, and assist in the identification of material risks.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57"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addition, our Chief Legal and Policy Officer oversees the engagement of third-party forensics vendors to assist in investigations under attorney-client privilege when necessary.</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Incident Containment</w:t>
      </w:r>
      <w:r>
        <w:rPr>
          <w:rFonts w:ascii="Times New Roman;serif" w:hAnsi="Times New Roman;serif"/>
          <w:b w:val="false"/>
          <w:color w:val="000000"/>
          <w:sz w:val="20"/>
        </w:rPr>
        <w:t>: Standard protocols include isolating affected systems, blocking malicious domains, applying security patches, and rotating private keys or application secrets.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from Threats and Incidents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are subject to risks from cybersecurity threats that could lead to unauthorized access to, disruptions of, and other cybersecurity incidents impacting our technology stack, including products, or the compromise of personal information, which includes data capable of being associated with natural persons. As of the date of this report, we are not aware of any security incidents that have materially affected our business strategy, results of operations, or financial condition. However, for a detailed discussion of these risks, please refer to Item 1A, “Risk Factors.”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Governance</w:t>
      </w:r>
    </w:p>
    <w:p>
      <w:pPr>
        <w:pStyle w:val="TextBody"/>
        <w:bidi w:val="0"/>
        <w:spacing w:lineRule="auto" w:line="276"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primarily through its Audit Committee, oversees the Company's cybersecurity risk management program as an integrated part of overall enterprise risk oversight. The Audit Committee is responsible for assisting the Board in overseeing the integrity of internal controls and major financial risk exposures. </w:t>
      </w:r>
    </w:p>
    <w:p>
      <w:pPr>
        <w:pStyle w:val="TextBody"/>
        <w:bidi w:val="0"/>
        <w:spacing w:before="0" w:after="0"/>
        <w:ind w:left="0" w:right="0" w:firstLine="490"/>
        <w:jc w:val="left"/>
        <w:rPr/>
      </w:pPr>
      <w:r>
        <w:rPr/>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cybersecurity management is led by our Chief Information Security Officer (“CISO”), who brings over 25 years of industry experience leading information security teams at renowned technology companies. Management’s responsibilities include:</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0"/>
        </w:rPr>
        <w:t>Incident Response Team</w:t>
      </w:r>
      <w:r>
        <w:rPr>
          <w:rFonts w:ascii="Times New Roman;serif" w:hAnsi="Times New Roman;serif"/>
          <w:b w:val="false"/>
          <w:color w:val="000000"/>
          <w:sz w:val="20"/>
        </w:rPr>
        <w:t>: A cross-functional team including representatives from security, IT, engineering, legal, and, external affairs is authorized to act quickly in the event of a security incident.</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Reporting and Communication</w:t>
      </w:r>
      <w:r>
        <w:rPr>
          <w:rFonts w:ascii="Times New Roman;serif" w:hAnsi="Times New Roman;serif"/>
          <w:b w:val="false"/>
          <w:color w:val="000000"/>
          <w:sz w:val="20"/>
        </w:rPr>
        <w:t>: The incident response team provides progress updates to management at least hourly during system outages. Only the Chief Legal Officer is authorized to declare a security incident as a data breach under applicable law.</w:t>
      </w:r>
    </w:p>
    <w:p>
      <w:pPr>
        <w:pStyle w:val="TextBody"/>
        <w:bidi w:val="0"/>
        <w:spacing w:lineRule="auto" w:line="276"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CISO provides briefings to the Audit Committee regarding our cybersecurity risk management program. Our Audit Committee updates our Board on such reports. </w:t>
      </w:r>
    </w:p>
    <w:p>
      <w:pPr>
        <w:pStyle w:val="TextBody"/>
        <w:bidi w:val="0"/>
        <w:spacing w:before="0" w:after="0"/>
        <w:ind w:left="0" w:right="0" w:firstLine="4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corporate headquarters is in Mountain View, California, where we lease approximately 34,000 square feet of office and industrial space pursuant to leases that expire between 2026 and 2027, and may be extended at our election. Our Mountain View facilities contain R&amp;D, operations and back-office functions. We lease approximately 75,000 square feet of office and industrial space in Lancaster, Texas that expires in 2031. Our Lancaster facility mainly contains operations with some back-office and R&amp;D functions. We have leases with two third-party data centers—one in Santa Clara, California and one in Dallas, Texas. Our industrial operations are in Odessa, Texas where we lease over 18,000 square feet of industrial/warehouse space pursuant to a lease that expires in 2031.</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believe our facilities are adequate and suitable for our current needs and that, should it be needed, suitable additional or alternative space will be available to accommodate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become subject to or involved in various claims, lawsuits and other legal or other administrative proceedings in the ordinary course of business. We are not currently a party to any such claims, lawsuits or proceedings currently pending, individually or in the aggregate, that are likely to have a material adverse effect on our business. Future litigation may be necessary or warranted to defend ourselves or our partners or to establish or assert our rights. The results of any current or future legal proceedings or litigation cannot be predicted with certainty and regardless of the outcome, legal proceedings or litigation can have an adverse impact on us, including because of defense and settlement costs, diversion of management resources and other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58"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360" w:after="36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Market Information and Holders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Common Stock and the Public Warrants are currently listed on Nasdaq under the symbols “KDK” and “KDKRW,” respectively.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of March 3, 2026, there were 182,555,384 shares of Common Stock issued and outstanding held of record by 258 holders, 142,155 shares of Series A Preferred Stock issued and outstanding held of record by 3 holders and 64,838,943 warrants issued and outstanding held of record by 13 holders.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have not paid any cash dividends on our common stock to date. We are obligated to pay dividends on our Series A cumulative redeemable convertible preferred stock (the “Series A Preferred Stock”). The payment of cash dividends on our common stock in the future will be dependent upon our revenues and earnings, if any, capital requirements and our general financial condition and will be subject to the limitations under the Certificate of Designation for our Series A Preferred Stock. In addition, our ability to pay cash dividends may be limited by covenants of any of our or our subsidiaries’ indebtedness or other contractual limitations. The payment of any cash dividends on our common stock will be within the discretion of our Board. Our Board is not currently contemplating and does not anticipate declaring dividends on our common stock in the foreseeable future.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 Sales of Unregistered Equity Securities; Use of Proceeds from Registered Offerings</w:t>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On December 31, 2025, we issued 45,906 shares of our common stock to Horizon Technology Finance Corporation in connection with our entrance into the 2025 Credit Facility (as defined below). Such issuance was not registered under the Securities Act in reliance upon the exemption from registration provided by Rule 506(b) of Regulation D promulgated by the SEC.</w:t>
      </w:r>
    </w:p>
    <w:p>
      <w:pPr>
        <w:pStyle w:val="TextBody"/>
        <w:bidi w:val="0"/>
        <w:spacing w:before="0" w:after="0"/>
        <w:ind w:left="0" w:right="0" w:firstLine="49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performance graph shall not be deemed “soliciting material” or to be “filed” with the SEC for purposes of Section 18 of the Exchange Act, or otherwise subject to the liabilities under that Section, and shall not be deemed to be incorporated by reference into any filing of the Company under the Securities Act of 1933, as amended (the “Securities Act”), or the Exchange Act.</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graph compares (i) the cumulative total stockholder return on our Common Stock from September 25, 2025, the day on which our Common Stock commenced trading on Nasdaq (which, prior to our domestication to a Delaware corporation in connection with the Business Combination, were referred to as Class A ordinary shares), through December 31, 2025 with (ii) the cumulative total return of the S&amp;P Software &amp; Services Select Industry Index and the Nasdaq Composite Index over the same period, assuming the investment of $100 in our common stock and in both of the other indices on September 25, 2025 and the reinvestment of dividends. The graph uses the closing market price on September 25, 2025 of $100 per share as the initial value of our Common Stock. As discussed above, we have never declared or paid a cash dividend on our Common Stock and do not anticipate declaring or paying a cash dividend in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59"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before="0" w:after="240"/>
        <w:jc w:val="center"/>
        <w:rPr/>
      </w:pPr>
      <w:r>
        <w:rPr/>
        <w:drawing>
          <wp:inline distT="0" distB="0" distL="0" distR="0">
            <wp:extent cx="4752975" cy="2552700"/>
            <wp:effectExtent l="0" t="0" r="0" b="0"/>
            <wp:docPr id="6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 descr=""/>
                    <pic:cNvPicPr>
                      <a:picLocks noChangeAspect="1" noChangeArrowheads="1"/>
                    </pic:cNvPicPr>
                  </pic:nvPicPr>
                  <pic:blipFill>
                    <a:blip r:embed="rId5"/>
                    <a:stretch>
                      <a:fillRect/>
                    </a:stretch>
                  </pic:blipFill>
                  <pic:spPr bwMode="auto">
                    <a:xfrm>
                      <a:off x="0" y="0"/>
                      <a:ext cx="4752975" cy="2552700"/>
                    </a:xfrm>
                    <a:prstGeom prst="rect">
                      <a:avLst/>
                    </a:prstGeom>
                  </pic:spPr>
                </pic:pic>
              </a:graphicData>
            </a:graphic>
          </wp:inline>
        </w:drawing>
      </w:r>
      <w:bookmarkStart w:id="3" w:name="i-4"/>
      <w:bookmarkEnd w:id="3"/>
    </w:p>
    <w:tbl>
      <w:tblPr>
        <w:tblW w:w="9069" w:type="dxa"/>
        <w:jc w:val="center"/>
        <w:tblInd w:w="0" w:type="dxa"/>
        <w:tblLayout w:type="fixed"/>
        <w:tblCellMar>
          <w:top w:w="28" w:type="dxa"/>
          <w:left w:w="28" w:type="dxa"/>
          <w:bottom w:w="28" w:type="dxa"/>
          <w:right w:w="28" w:type="dxa"/>
        </w:tblCellMar>
      </w:tblPr>
      <w:tblGrid>
        <w:gridCol w:w="1414"/>
        <w:gridCol w:w="1240"/>
        <w:gridCol w:w="1260"/>
        <w:gridCol w:w="319"/>
        <w:gridCol w:w="319"/>
        <w:gridCol w:w="321"/>
        <w:gridCol w:w="319"/>
        <w:gridCol w:w="319"/>
        <w:gridCol w:w="321"/>
        <w:gridCol w:w="354"/>
        <w:gridCol w:w="354"/>
        <w:gridCol w:w="356"/>
        <w:gridCol w:w="354"/>
        <w:gridCol w:w="354"/>
        <w:gridCol w:w="356"/>
        <w:gridCol w:w="324"/>
        <w:gridCol w:w="324"/>
        <w:gridCol w:w="461"/>
      </w:tblGrid>
      <w:tr>
        <w:trPr/>
        <w:tc>
          <w:tcPr>
            <w:tcW w:w="1414"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9/25/2025</w:t>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9/30/2025</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10/31/2025</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11/28/2025</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12/31/2025</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Kodiak</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S&amp;P Software &amp; Services Select Industry Index</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Nasdaq Composite</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540"/>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0" w:after="240"/>
        <w:ind w:left="0" w:right="0" w:firstLine="490"/>
        <w:jc w:val="left"/>
        <w:rPr>
          <w:rFonts w:ascii="Times New Roman;serif" w:hAnsi="Times New Roman;serif"/>
          <w:b w:val="false"/>
          <w:i/>
          <w:color w:val="231F20"/>
          <w:sz w:val="20"/>
        </w:rPr>
      </w:pPr>
      <w:r>
        <w:rPr>
          <w:rFonts w:ascii="Times New Roman;serif" w:hAnsi="Times New Roman;serif"/>
          <w:b w:val="false"/>
          <w:i/>
          <w:color w:val="231F20"/>
          <w:sz w:val="20"/>
        </w:rPr>
        <w:t xml:space="preserve">On September 24, 2025 (the "Closing Date" or "Closing"), Kodiak Robotics, Inc. (“Legacy Kodiak”) and Ares Acquisition Corporation II (“AACT”) consummated the merger transaction (the “Merger”) as contemplated by a definitive business combination agreement (the “BCA”) and AACT changed its name to Kodiak AI, Inc. (the “Company” or “Kodiak”). As a result, the financial statements of Legacy Kodiak are now the financial statements of Kodiak. </w:t>
      </w:r>
    </w:p>
    <w:p>
      <w:pPr>
        <w:pStyle w:val="TextBody"/>
        <w:bidi w:val="0"/>
        <w:spacing w:lineRule="auto" w:line="288" w:before="0" w:after="240"/>
        <w:ind w:left="0" w:right="0" w:firstLine="490"/>
        <w:jc w:val="left"/>
        <w:rPr>
          <w:rFonts w:ascii="Times New Roman;serif" w:hAnsi="Times New Roman;serif"/>
          <w:b w:val="false"/>
          <w:i/>
          <w:color w:val="231F20"/>
          <w:sz w:val="20"/>
        </w:rPr>
      </w:pPr>
      <w:r>
        <w:rPr>
          <w:rFonts w:ascii="Times New Roman;serif" w:hAnsi="Times New Roman;serif"/>
          <w:b w:val="false"/>
          <w:i/>
          <w:color w:val="231F20"/>
          <w:sz w:val="20"/>
        </w:rPr>
        <w:t xml:space="preserve">For discussion related to our results of operations for the year ended December 31, 2024 and year-to-year comparison between the years ended December 31, 2024 and 2023, refer to the section titled “MANAGEMENT’S DISCUSSION AND ANALYSIS OF FINANCIAL CONDITION AND RESULTS OF OPERATIONS OF LEGACY KODIAK” in our Prospectus filed pursuant to Rule 424(b)(3) with the U.S. Securities and Exchange Commission (the “SEC”) on August 29, 2025, which is hereby incorporated by reference herein. The following discussion and analysis of the financial condition and results of operations should be read together with our consolidated financial statements for the years ended December 31, 2025, 2024, and 2023, and the related notes included elsewhere in this Annual Report on Form 10-K (this “Annual Report”). </w:t>
      </w:r>
    </w:p>
    <w:p>
      <w:pPr>
        <w:pStyle w:val="TextBody"/>
        <w:bidi w:val="0"/>
        <w:spacing w:lineRule="auto" w:line="288" w:before="0" w:after="240"/>
        <w:ind w:left="0" w:right="0" w:firstLine="490"/>
        <w:jc w:val="left"/>
        <w:rPr>
          <w:rFonts w:ascii="Times New Roman;serif" w:hAnsi="Times New Roman;serif"/>
          <w:b w:val="false"/>
          <w:i/>
          <w:color w:val="231F20"/>
          <w:sz w:val="20"/>
        </w:rPr>
      </w:pPr>
      <w:r>
        <w:rPr>
          <w:rFonts w:ascii="Times New Roman;serif" w:hAnsi="Times New Roman;serif"/>
          <w:b w:val="false"/>
          <w:i/>
          <w:color w:val="231F20"/>
          <w:sz w:val="20"/>
        </w:rPr>
        <w:t>Certain information contained in this discussion and analysis is also included elsewhere in this Annual Report, including information regarding our business plans and strategy, and includes forward-looking statements that involve risks and uncertainties. Actual results could differ materially from those anticipated in these forward-looking statements as a result of various factors, including those discussed in the sections titled “Risk Factors” and “Cautionary Note Regarding Forward-Looking Statements” in this Annual Report.</w:t>
      </w:r>
    </w:p>
    <w:p>
      <w:pPr>
        <w:pStyle w:val="TextBody"/>
        <w:bidi w:val="0"/>
        <w:spacing w:lineRule="auto" w:line="288" w:before="0" w:after="360"/>
        <w:ind w:left="0" w:right="0" w:firstLine="490"/>
        <w:jc w:val="left"/>
        <w:rPr>
          <w:rFonts w:ascii="Times New Roman;serif" w:hAnsi="Times New Roman;serif"/>
          <w:b w:val="false"/>
          <w:i/>
          <w:color w:val="231F20"/>
          <w:sz w:val="20"/>
        </w:rPr>
      </w:pPr>
      <w:r>
        <w:rPr>
          <w:rFonts w:ascii="Times New Roman;serif" w:hAnsi="Times New Roman;serif"/>
          <w:b w:val="false"/>
          <w:i/>
          <w:color w:val="231F20"/>
          <w:sz w:val="20"/>
        </w:rPr>
        <w:t>Our investor relations website is located at https://investors.kodiak.ai. We use our investor relations website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monitor our investor relations website, in addition to following press releases, SEC filings and public conference calls and webcasts. From time to time, we may also post information that could be deemed material on our social media channels, which are listed on our investor relations website, and investors are encouraged to review those sources as well. We have included our investor relations website as an inactive textual reference only. Except as specifically incorporated by reference into this Report, information on such website is not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61"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6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Kodiak is a leading provider of physical AI, with a focus on AI-powered autonomous vehicle (“AV”) technology, that is designed to help tackle some of the toughest driving jobs. Our driverless solution can help address the critical problem of safely transporting goods in the face of unprecedented supply chain challenges. We believe that driverless trucks can enhance road safety, improve truck utilization, reduce costs, expand margins for fleet owners, alleviate supply chain pressures and create better jobs for truck drivers.</w:t>
      </w:r>
    </w:p>
    <w:p>
      <w:pPr>
        <w:pStyle w:val="TextBody"/>
        <w:bidi w:val="0"/>
        <w:spacing w:lineRule="auto" w:line="26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serve customers in the long-haul trucking, industrial trucking, and defense industries. In December 2024, we launched our driverless solution, which we refer to as the Kodiak Driver. We believe the launch of the Kodiak Driver represents the first customer-owned and -operated driverless trucks in commercial service. In addition, our customers have utilized Kodiak-owned driverless trucks to deliver revenue generating loads across the southern United States. As of December 31, 2025, Kodiak Driver-powered vehicles have logged over 10,700 Cumulative Hours of Paid Driverless Operations and have delivered over 12,600 loads. In the defense industry, we believe the Kodiak Driver can support national security initiatives and critical government applications.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expect to continue to operate using a Driver-as-a-Service (“DaaS”) business model, which we launched in December 2024 in connection with our partnership with Atlas Energy Solutions (“Atlas”). Under our DaaS model, our customers are provided with access to the Kodiak Driver on customer-owned and -operated vehicles. Under this model, we generate revenue through either a per-vehicle or per-mile license fee. This flexible approach to pricing is designed to align with our customers’ diverse operational models, while generating predictable recurring revenue for us. By integrating the Kodiak Driver into customer-owned fleets, we expect to build an asset-light business that can scale with our customers’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Merger</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the Closing Date, AACT, a Delaware corporation, consummated a series of transactions that resulted in, among other things, the combination of AAC II Merger Sub, Inc., a wholly owned subsidiary of AACT (“Merger Sub”), and Legacy Kodiak pursuant to a definitive business combination agreement dated April 14, 2025 (the “BCA”). Pursuant to the terms of the BCA, Merger Sub merged with and into Legacy Kodiak, with Legacy Kodiak surviving the merger as a wholly owned subsidiary of AACT (the “Merger”). On the Closing Date, AACT changed its name from AACT to “Kodiak AI, Inc.”</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Merger was accounted for as a reverse recapitalization, with Legacy Kodiak being the accounting acquirer and AACT being the acquired company for financial reporting purposes. As a result, Legacy Kodiak's financial statements for historical periods will be included in Kodiak’s future periodic reports filed with the SEC.</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received $171.2 million cash proceeds from the reverse recapitalization and private investment from public equity financing related to the issuance of our Series A cumulative redeemable convertible preferred stock (the “Series A Preferred Stock”), net of transaction costs.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will use the net proceeds from the Merger primarily to support our growth initiatives. We also expect to incur additional expenses as a public company for, among other things, incremental directors’ and officers’ liability insurance, director compensation and additional internal and external accounting, legal and administrative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Key Factors Affecting our Results</w:t>
      </w:r>
    </w:p>
    <w:p>
      <w:pPr>
        <w:pStyle w:val="TextBody"/>
        <w:bidi w:val="0"/>
        <w:spacing w:lineRule="auto" w:line="288" w:before="0" w:after="240"/>
        <w:ind w:left="0" w:right="0" w:firstLine="490"/>
        <w:jc w:val="left"/>
        <w:rPr/>
      </w:pPr>
      <w:r>
        <w:rPr>
          <w:rFonts w:ascii="Times New Roman;serif" w:hAnsi="Times New Roman;serif"/>
          <w:b w:val="false"/>
          <w:color w:val="000000"/>
          <w:sz w:val="20"/>
        </w:rPr>
        <w:t>We believe that our performance and future success depend on several factors that present significant opportunities for us but also pose risks and challenges, including those discussed below and in the section of this Annual Report titled “</w:t>
      </w:r>
      <w:r>
        <w:rPr>
          <w:rFonts w:ascii="Times New Roman;serif" w:hAnsi="Times New Roman;serif"/>
          <w:b w:val="false"/>
          <w:i/>
          <w:color w:val="000000"/>
          <w:sz w:val="20"/>
        </w:rPr>
        <w:t>Risk Factors.</w:t>
      </w:r>
      <w:r>
        <w:rPr>
          <w:color w:val="000000"/>
        </w:rPr>
        <w: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Evolution of Business Model</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model has evolved and will continue to evolve in parallel with the growth of our business. Initially, our revenue was generated by transporting commercial freight using Kodiak-owned autonomous trucks and from our work with the U.S. Army. This approach allowed us to refine the Kodiak Driver, demonstrate commercial viability, grow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62"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customer base and establish a freight network spanning approximately 24,000 miles across the southern United States and demonstrate the viability of the Kodiak Driver across multiple operating domains.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Under our DaaS model, which we launched in December 2024 with Atlas, our customers own and operate Kodiak Driver-powered trucks, and Kodiak provides the autonomy system, regular software updates, systems integrations, remote monitoring and operational and remote support. Under the DaaS model, revenue is generated on a recurring subscription basis, either through a per-vehicle or a per-mile license fee structure, with mileage minimums, where applicable. The DaaS model is designed to scale efficiently, support diverse customer operations, and establish recurring revenue streams while helping minimize our capital expenditures.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we expand deployments under the DaaS model, we expect a shift in our cost structure to an asset-light business model. Historically, we primarily used Kodiak-owned trucks in our operations. We expect to continue to own and operate a limited fleet of trucks to support the continued development of the Kodiak Driver and continued business development efforts. In the near term, we expect our costs will continue to reflect the use of Kodiak-owned trucks. Over time, we expect customer-owned vehicles will represent a larger share of the deployed fleet, supporting a leaner, more capital-efficient and increasingly asset-light operating model. We also anticipate a shift in capital allocation, moving from an initial focus on technology development toward scaling operations. Future investments will increasingly focus on deployment growth and operational integration. As we grow, we expect to benefit from economies of scale driven by operational efficiencies and continued platform refinement.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Commercialization</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launched our DaaS business in December 2024 with Atlas, and as of December 31, 2025, have surpassed 10,700 Cumulative Hours of Paid Driverless Operations. We anticipate scaling our deployment with Atlas over the course of 2025 and beyond. We are also exploring opportunities among additional customers that operate in remote, unstructured environments similar to the Permian Basin. Like Atlas, these customers face acute driver recruitment issues and 24/7 operational requirements, presenting attractive growth and profitability opportunities. We additionally see an opportunity to expand our work on unimproved roads internationally, in similarly-well suited markets such as Australia, the Middle East, and Canada.</w:t>
      </w:r>
    </w:p>
    <w:p>
      <w:pPr>
        <w:pStyle w:val="TextBody"/>
        <w:bidi w:val="0"/>
        <w:spacing w:lineRule="auto" w:line="288" w:before="0" w:after="240"/>
        <w:ind w:left="0" w:right="0" w:firstLine="490"/>
        <w:jc w:val="left"/>
        <w:rPr/>
      </w:pPr>
      <w:r>
        <w:rPr>
          <w:rFonts w:ascii="Times New Roman;serif" w:hAnsi="Times New Roman;serif"/>
          <w:b w:val="false"/>
          <w:color w:val="000000"/>
          <w:sz w:val="20"/>
        </w:rPr>
        <w:t>We also continue to prepare our long-haul trucking and industrial trucking customers for our DaaS business model through our Partner Deployment Program (“PDP”) as we work to expand our safety case to the long-haul trucking vertical. Inclusive of both our operations with Atlas and with our over-the-road customers, as of December 31, 2025, Kodiak Driver-powered vehicles have delivered over 12,600 loads. We see our customer base as a competitive advantage with our existing customer base having an aggregate fleet size of over 125,000 trucks.</w:t>
      </w:r>
      <w:r>
        <w:rPr>
          <w:rFonts w:ascii="Times New Roman;serif" w:hAnsi="Times New Roman;serif"/>
          <w:b w:val="false"/>
          <w:color w:val="000000"/>
          <w:sz w:val="13"/>
        </w:rPr>
        <w:t>1</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also see increasing tailwinds in the defense market, as defense modernization programs increasingly focus on upgrading vehicle fleets with advanced technologies. The U.S. Department of War (“DoW”) is increasingly prioritizing adapting commercial, off-the-shelf AI technologies for defense purposes, which creates opportunities for dual-use developers like Kodiak. Additionally, allied European nations are ramping up investment in autonomous ground vehicles in response to instability in the region.</w:t>
      </w:r>
    </w:p>
    <w:p>
      <w:pPr>
        <w:pStyle w:val="TextBody"/>
        <w:bidi w:val="0"/>
        <w:spacing w:lineRule="auto" w:line="26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Kodiak’s ability to achieve our scale goals, as well as profitability, depends on our ability to meet both technical and commercial milestones and the need to scale our deployments with existing customers and attract new customers. Delays in our deployment timelines could result in Kodiak failing to achieve revenue and profitability targets. We intend to pursue additional long-haul trucking, industrial trucking, and defense partnerships as we scale our DaaS business model. If our assumptions about our commercial or technical development are overly optimistic, or if we are unable to successfully commercialize the Kodiak Driver, we may fail to generate operating cash flow or achieve profitability. A failure to meet our technical or commercial milestones may lead to unanticipated delays or cost overruns, which could in turn adversely impact margins and cash flows.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Economies of Scale, Sales and Marketing, &amp; Competition</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DaaS model, where we charge our customers a per-truck or per-mile license fee, will enable us to achieve strong margin profiles at scale. Our future performance will depend on our ability to both deliver these high margins, including both revenue expansion and cost control measures, as well as scale our deployments beyond Atlas to </w:t>
      </w:r>
    </w:p>
    <w:p>
      <w:pPr>
        <w:pStyle w:val="TextBody"/>
        <w:bidi w:val="0"/>
        <w:spacing w:lineRule="auto" w:line="268" w:before="0" w:after="0"/>
        <w:ind w:left="0" w:right="0" w:hanging="144"/>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Transport Topics and Federal Motor Carrier Safety Administration Company Snapshot Report. Fleet size includes company-owned, lease-to-own and owner-operator tractors.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63"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higher volumes. Our approach allows us to focus on developing our core Kodiak Driver technologies while leveraging third-party ecosystem partnerships to ensure capital efficiency.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we scale our DaaS model, we aim to transition our customers away from delivering freight on Kodiak-owned and -operated trucks to customer-owned and -operated trucks. We anticipate achieving additional economies of scale as we grow our deployments. We expect that these economies of scale will come from both increased efficiency and component cost reductions, as both we and our suppliers improve production efficiency. Achievement of this scale depends on our ability to transition our PDP customers to the DaaS model within our expected time frame.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While we expect to achieve and maintain strong margins on the Kodiak Driver, additional competition in AV technologies may negatively impact pricing, margins, and market share. This may lead to pricing pressure and lower margins that negatively impact operating results. However, we believe our capital efficient approach gives us a competitive advantage in terms of ensuring margins and unit economics. If we do not generate the margins we expect upon commercialization of our DaaS model, we may be required to raise additional debt or equity capital, which may not be available on acceptable terms or at all.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Regulatory Landscape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While there is currently no comprehensive federal regulatory framework governing the deployment of driverless trucks, we are able to operate our driverless trucking business today under existing regulation and related guidance. Many states support driverless deployment either through legislation or regulatory guidance, though different states have different requirements, such as first responder interaction protocols and insurance standards, which create compliance complexities.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the regulatory environment related to driverless technologies advances, our business will need to continue to evolve accordingly. For example, additional state-level requirements or new federal standards could require operational or technical adjustments. We proactively engage with policymakers and regulators to help ensure the regulatory frameworks support safe and scalable driverless deployment.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Global Economic Conditions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Unfavorable economic conditions in the United States and globally may adversely impact our business growth and operating results. Macroeconomic factors such as inflation, higher interest rates, tariffs, banking disruptions, geopolitical tensions and conflicts in Ukraine and the Middle East have contributed to increased economic uncertainty and market volatility. Recent policy actions by the U.S. Government, including changes to trade policy, tariffs on key imports and shifts in industrial and environmental regulations, may further impact global supply chains and business investment decisions. These effects may not be fully reflected in our financial performance until future periods. Additionally, adverse conditions could limit our ability to secure financing on acceptable terms, or at all. Ongoing geopolitical instability and related sanctions may further disrupt global financial markets, including in the United States, potentially resulting in a material impact on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Key Operating Metrics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monitor the following key operating metrics to help us evaluate our business, identify trends affecting our business, formulate business plans and financial projections and make strategic decisions.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Cumulative Hours of Paid Driverless Operations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believe this metric is an important measure of the progress of the commercialization of our technology. We define Cumulative Hours of Paid Driverless Operations as the aggregate number of logged hours when the Kodiak Driver is actively engaged without a safety driver in the vehicle, and we are being paid by our customers.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This metric is critical to assessing the maturity, reliability and scalability of the Kodiak Driver. Growth in Cumulative Hours of Paid Driverless Operations indicates increasing driverless operational performance, customer adoption and commercial readiness.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2024, we commenced tracking Cumulative Hours of Paid Driverless Operations following the initial delivery of the Kodiak Driver-powered trucks to Atlas. As of December 31, 2024, we had logged 17 Cumulative Hours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64"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Paid Driverless Operations. As of December 31, 2025, we have surpassed 10,700 Cumulative Hours of Paid Driverless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Customer-Owned Driverless Vehicles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believe that Customer-Owned Driverless Vehicles is an important measure of the unit growth rate of our business. We expect growth in this metric to signal customer adoption of our DaaS model and future revenue expansion. We define Customer-Owned Driverless Vehicles as the number of customer-owned driverless vehicles with a then-current license for the Kodiak Driver during the applicable period.</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This metric reflects commercial adoption, operational scaling and our ability to deliver autonomous vehicles capable of operating without a safety driver. As of December 31, 2025, our customers had 20 Customer-Owned Driverless Vehicles.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6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our financial results determined in accordance with U.S. generally accepted accounting principles (“GAAP”), we consider certain non-GAAP measures, including the following, which we use to evaluate our ongoing operations and for internal planning and forecasting purposes. We believe that non-GAAP financial information, when taken collectively with the financial information presented in accordance with GAAP,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companies, including companies in our industry, may calculate similarly titled non-GAAP measures differently or may use other measures to evaluate their performance, all of which could reduce the usefulness of our non-GAAP financial measures as tools for comparison. In addition, the utility of free cash flow as a measure of our liquidity is limited as it does not represent the total increase or decrease in our cash balance for a given period.</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Investors are encouraged to review the related GAAP financial measures and the reconciliation of these non-GAAP financial measures to their most directly comparable GAAP financial measures and not rely on any single financial measure to evaluate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Non-GAAP Loss from Operations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define non-GAAP loss from operations as GAAP loss from operations, excluding stock-based compensation expense. We use non-GAAP loss from operations as part of our overall assessment of our performance, including the preparation of our annual operating budget and quarterly forecasts, to evaluate the effectiveness of our business strategies, and to communicate with our board of directors concerning our financial performance. Stock-based compensation is a non-cash expense that varies in amount from period to period and is dependent on market forces that are often beyond our control. As a result, management excludes this item from internal operating forecasts and models. Management believes that non-GAAP measures adjusted for stock-based compensation provide investors with a basis to measure our performance against the performance of other companies without the variability created by stock-based compensation as a result of the variety of equity awards used by other companies and the varying methodologies and assumptions used.</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provides a reconciliation from GAAP loss from operations to non-GAAP loss from operations, the most directly comparable financial measure stated in accordance with GAAP.</w:t>
      </w:r>
    </w:p>
    <w:tbl>
      <w:tblPr>
        <w:tblW w:w="8821" w:type="dxa"/>
        <w:jc w:val="left"/>
        <w:tblInd w:w="0" w:type="dxa"/>
        <w:tblLayout w:type="fixed"/>
        <w:tblCellMar>
          <w:top w:w="28" w:type="dxa"/>
          <w:left w:w="28" w:type="dxa"/>
          <w:bottom w:w="28" w:type="dxa"/>
          <w:right w:w="28" w:type="dxa"/>
        </w:tblCellMar>
      </w:tblPr>
      <w:tblGrid>
        <w:gridCol w:w="982"/>
        <w:gridCol w:w="865"/>
        <w:gridCol w:w="867"/>
        <w:gridCol w:w="264"/>
        <w:gridCol w:w="997"/>
        <w:gridCol w:w="136"/>
        <w:gridCol w:w="136"/>
        <w:gridCol w:w="136"/>
        <w:gridCol w:w="136"/>
        <w:gridCol w:w="264"/>
        <w:gridCol w:w="866"/>
        <w:gridCol w:w="136"/>
        <w:gridCol w:w="109"/>
        <w:gridCol w:w="109"/>
        <w:gridCol w:w="109"/>
        <w:gridCol w:w="211"/>
        <w:gridCol w:w="901"/>
        <w:gridCol w:w="109"/>
        <w:gridCol w:w="109"/>
        <w:gridCol w:w="109"/>
        <w:gridCol w:w="109"/>
        <w:gridCol w:w="211"/>
        <w:gridCol w:w="796"/>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Year Ended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 thousands)</w:t>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loss from operations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loss from operations</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(29,764)</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(7,897)</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(56,169)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65"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define free cash flow as net cash used in operating activities, which is its most directly comparable measure calculated in accordance with GAAP, less purchases of property and equipment. We believe free cash flow is a useful indicator of liquidity that provides our management, board of directors, and investors with information about our future ability to generate or use cash to enhance the strength of our balance sheet and further invest in our business and pursue potential strategic initiatives. The following provides a reconciliation from net cash used in operating activities to free cash flow.</w:t>
      </w:r>
    </w:p>
    <w:tbl>
      <w:tblPr>
        <w:tblW w:w="9694" w:type="dxa"/>
        <w:jc w:val="left"/>
        <w:tblInd w:w="0" w:type="dxa"/>
        <w:tblLayout w:type="fixed"/>
        <w:tblCellMar>
          <w:top w:w="28" w:type="dxa"/>
          <w:left w:w="28" w:type="dxa"/>
          <w:bottom w:w="28" w:type="dxa"/>
          <w:right w:w="28" w:type="dxa"/>
        </w:tblCellMar>
      </w:tblPr>
      <w:tblGrid>
        <w:gridCol w:w="1298"/>
        <w:gridCol w:w="1142"/>
        <w:gridCol w:w="1145"/>
        <w:gridCol w:w="253"/>
        <w:gridCol w:w="956"/>
        <w:gridCol w:w="131"/>
        <w:gridCol w:w="131"/>
        <w:gridCol w:w="131"/>
        <w:gridCol w:w="131"/>
        <w:gridCol w:w="253"/>
        <w:gridCol w:w="956"/>
        <w:gridCol w:w="131"/>
        <w:gridCol w:w="109"/>
        <w:gridCol w:w="109"/>
        <w:gridCol w:w="109"/>
        <w:gridCol w:w="211"/>
        <w:gridCol w:w="901"/>
        <w:gridCol w:w="109"/>
        <w:gridCol w:w="109"/>
        <w:gridCol w:w="109"/>
        <w:gridCol w:w="109"/>
        <w:gridCol w:w="211"/>
        <w:gridCol w:w="796"/>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Year Ended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 thousands)</w:t>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cash used in operating activities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(34,371)</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(17,176)</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(54,153)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generate revenues from: (i) providing DaaS to customers; (ii) delivering freight via Kodiak-owned autonomous trucks powered by the Kodiak Driver; and (iii) providing ground autonomy solutions to the U.S. military. Defense contracts, and associated revenue, particularly those with the DoW and the U.S. Army, can be episodic in nature and difficult to predict from period-to-period. As we scale our DaaS business model beyond Atlas, we expect revenue under such arrangements to increase relative to our total revenues.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operating expenses consist of research and development, general and administrative, truck and freight operations and sales and marketing.</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 are expensed as incurred and consist primarily of personnel costs, hardware and electrical engineering prototyping, cloud computing and storage, third-party software licenses (including simulation), data labeling and third-party design services.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expect our research and development expenses to continue to increase for the foreseeable future as we advance our innovation efforts, expand into new operational domains and enhance solutions leveraging our proprietary technology.</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costs consist primarily of personnel costs, facilities rent, insurance, professional services (including external accounting and legal advisors), and other general and administrative costs.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expect our general and administrative expenses to continue to increase for the foreseeable future to support our additional headcount, driven by expanding operations and as a result of operating as a public company. These increased costs primarily relate to legal, audit, accounting, regulatory and tax-related services associated with maintaining compliance with exchange listing and SEC requirements, incremental director and officer insurance costs, investor and public relations costs and other expenses that we did not incur as a private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66"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Truck and Freight Operations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Truck and freight operations costs consist primarily of personnel costs, truck-related operational costs and DaaS operational infrastructure costs, including remote and on-site support and the depreciation of deployed Kodiak Driver hardware.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expect our truck and freight operations costs to continue to increase due to the expansion of our testing and deployment with new and existing customers and to support our geographic expansion.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Sales and marketing costs consist primarily of personnel costs and sales-related, branding and public relations activities. We expect our sales and marketing expenses to continue to increase to support the expected growth in our commercial operations.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Other (Expenses) Income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(expenses) income consists primarily of (i) loss on issuance of our equity instruments associated with our Series A cumulative redeemable convertible preferred stock, common stock, and common stock warrants; (ii) changes in fair value as a result of the remeasurement of our second lien loans, simple agreements for future equity (“SAFEs”), and redeemable convertible preferred stock warrant liabilities; (iii) interest income and other net, which includes income on our cash equivalents and marketable securities, net of transaction costs related to the reverse recapitalization; and (iv) interest expense incurred on our debt obligations.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Year Ended December 31, 2025 compared to Year Ended December 31, 2024</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results of operations for the periods indicated are summarized in the table below (in thousands): </w:t>
      </w:r>
    </w:p>
    <w:tbl>
      <w:tblPr>
        <w:tblW w:w="10205" w:type="dxa"/>
        <w:jc w:val="left"/>
        <w:tblInd w:w="0" w:type="dxa"/>
        <w:tblLayout w:type="fixed"/>
        <w:tblCellMar>
          <w:top w:w="28" w:type="dxa"/>
          <w:left w:w="28" w:type="dxa"/>
          <w:bottom w:w="28" w:type="dxa"/>
          <w:right w:w="28" w:type="dxa"/>
        </w:tblCellMar>
      </w:tblPr>
      <w:tblGrid>
        <w:gridCol w:w="1775"/>
        <w:gridCol w:w="1437"/>
        <w:gridCol w:w="1457"/>
        <w:gridCol w:w="211"/>
        <w:gridCol w:w="878"/>
        <w:gridCol w:w="109"/>
        <w:gridCol w:w="109"/>
        <w:gridCol w:w="109"/>
        <w:gridCol w:w="109"/>
        <w:gridCol w:w="211"/>
        <w:gridCol w:w="773"/>
        <w:gridCol w:w="109"/>
        <w:gridCol w:w="109"/>
        <w:gridCol w:w="109"/>
        <w:gridCol w:w="109"/>
        <w:gridCol w:w="211"/>
        <w:gridCol w:w="878"/>
        <w:gridCol w:w="109"/>
        <w:gridCol w:w="109"/>
        <w:gridCol w:w="109"/>
        <w:gridCol w:w="109"/>
        <w:gridCol w:w="268"/>
        <w:gridCol w:w="249"/>
        <w:gridCol w:w="549"/>
      </w:tblGrid>
      <w:tr>
        <w:trPr/>
        <w:tc>
          <w:tcPr>
            <w:tcW w:w="1775"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4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6"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5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Truck and freight operations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5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5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(112,625)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5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income:</w:t>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net</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5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issuance of equity instruments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common stock warrants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second lien loans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simple agreements for future equity</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redeemable convertible preferred stock warrant liabilities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 net</w:t>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(472,897)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(465,158)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(585,522)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(69,458)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(516,064)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0" w:after="36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67"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Revenues decreased by $11.1 million, or 75%, to $3.8 million for the year ended December 31, 2025 from $14.9 million for the year ended December 31, 2024. The decrease was primarily attributed to a $12.3 million decrease related to contracts with the U.S. Army, and a $0.5 million decrease in freight delivery revenue. The decreases were partially offset by a $1.7 million increase in DaaS revenue.</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$6.7 million, or 15%, to $50.2 million for the year ended December 31, 2025 from $43.4 million for the year ended December 31, 2024. The increase was primarily attributable to $4.7 million of higher headcount-related expenses, an increased investment of $3.0 million in software and other tools to support our artificial intelligence and machine learning initiatives. These increases were partially offset by a $1.0 million decrease related to the timing of costs recognized pursuant to our contract with the U.S Army.</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increased by $15.7 million, or 75%, to $36.7 million for the year ended December 31, 2025 from $21.0 million for the year ended December 31, 2024. The increase was primarily attributable to $11.2 million of higher headcount-related expenses, which included $3.0 million in stock-based compensation expense associated with the modification of stock option awards in connection with the departure of a company officer for the year ended December 31, 2025. The increase was also driven by an increase of $5.5 million in costs incurred for legal, accounting and other professional services, primarily associated with becoming a public company. These increases were partially offset by reduced facility-related costs of $2.0 million primarily driven by lower leasehold improvements amortization due to assets that became fully amortized for the year ended December 31, 2024.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Truck and Freight Operations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Truck and freight operations expenses increased by $15.8 million, or 175%, to $24.8 million for the year ended December 31, 2025 from $9.0 million for the year ended December 31, 2024. The increase was primarily attributable to $10.0 million of higher headcount-related expenses and $5.0 million in increased operational infrastructure costs, both of which were incurred to support DaaS operations.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$1.5 million, or 48%, to $4.8 million for the year ended December 31, 2025 from $3.2 million for the year ended December 31, 2024. The increase was primarily attributable to higher headcount-related expenses.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Other (Expenses) Income</w:t>
      </w:r>
    </w:p>
    <w:p>
      <w:pPr>
        <w:pStyle w:val="TextBody"/>
        <w:bidi w:val="0"/>
        <w:spacing w:lineRule="auto" w:line="268" w:before="0" w:after="360"/>
        <w:ind w:left="0" w:right="0" w:firstLine="490"/>
        <w:jc w:val="left"/>
        <w:rPr/>
      </w:pPr>
      <w:r>
        <w:rPr>
          <w:rFonts w:ascii="Times New Roman;serif" w:hAnsi="Times New Roman;serif"/>
          <w:b w:val="false"/>
          <w:color w:val="000000"/>
          <w:sz w:val="20"/>
        </w:rPr>
        <w:t xml:space="preserve">Other expenses, net increased by $465.2 million to $472.9 million for the year ended December 31, 2025 from $7.7 million for the year ended December 31, 2024. The increase was primarily attributable to the aggregate loss of $210.7 million on issuance of Series A cumulative redeemable convertible preferred stock, common stock, and common stock warrants. In addition, the change included an increase in expenses driven by the changes in fair value as a result of remeasurement of SAFEs of $186.0 million, common stock warrants of $35.0 million, second lien loans of $24.4 million, and redeemable convertible preferred stock warrant liabilities of $7.7 million for the year ended December 31, 2025 compared to the year ended December 31, 2024. Furthermore, we recognized a $3.2 million loss attributable to transaction costs related to the reverse recapitalization, offset in part by $1.3 million interest income within </w:t>
      </w:r>
      <w:r>
        <w:rPr>
          <w:rFonts w:ascii="Times New Roman;serif" w:hAnsi="Times New Roman;serif"/>
          <w:b w:val="false"/>
          <w:i/>
          <w:color w:val="000000"/>
          <w:sz w:val="20"/>
        </w:rPr>
        <w:t xml:space="preserve">interest income and other, net </w:t>
      </w:r>
      <w:r>
        <w:rPr>
          <w:rFonts w:ascii="Times New Roman;serif" w:hAnsi="Times New Roman;serif"/>
          <w:b w:val="false"/>
          <w:color w:val="000000"/>
          <w:sz w:val="20"/>
        </w:rPr>
        <w:t>during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68"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2025, we incurred a net loss of $585.5 million. We expect to incur additional losses and increased expenses in future periods as we continue to scale our business, invest in research and development efforts, increase employee headcount and incur additional expenses associated with being a public company.</w:t>
      </w:r>
    </w:p>
    <w:p>
      <w:pPr>
        <w:pStyle w:val="TextBody"/>
        <w:bidi w:val="0"/>
        <w:spacing w:lineRule="auto" w:line="276"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cash and cash equivalents and marketable securities totaling $120.7 million, and short-term debt obligations totaled $11.9 million consisting of current portion of debt and second lien loans. We do not anticipate that such cash and cash equivalents and marketable securities will be sufficient to meet our capital requirements for at least one year from the filing date of this Annual Report under our current operating plan. We expect our current cash and cash equivalents and marketable securities to fund our business plan into the fourth quarter of 2026. We expect to seek additional funding through debt or equity offerings, including in the near term in the form of issuing equity and equity-linked securities and incurring additional indebtedness, which may result in substantial dilution or restrictive covenants, to fund our operating plan. If we do not generate sufficient cash to fund our operating plan, we may also adjust our operating plan to lower our anticipated research and development initiatives, reduce our growth plans or liquidate our assets, among other things. To the extent any or all of these events were to occur, our business, operating results, financial condition and prospects may be materially and adversely affected.</w:t>
      </w:r>
    </w:p>
    <w:p>
      <w:pPr>
        <w:pStyle w:val="TextBody"/>
        <w:bidi w:val="0"/>
        <w:spacing w:lineRule="auto" w:line="288" w:before="12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of December 31, 2025, we may receive up to $670.4 million from the exercise in full of all of our outstanding warrants for cash based on the exercise price, or $518.1 million if the exercise prices of the warrants are reduced to the lowest price currently contemplated thereunder. The current exercise price of the publicly traded and privately issued warrants is $9.28 per share, and the initial exercise price of the warrants to purchase common stock issued in connection with the reverse recapitalization is $12.00 per share. The likelihood that warrant holders will exercise the warrants and any cash proceeds that we would receive is dependent upon the market price of our common stock. To the extent the market price for our common stock is less than the then-effective exercise price per share of any warrants, holders of such warrants will be unlikely to exercise such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1" w:after="240"/>
        <w:jc w:val="left"/>
        <w:rPr/>
      </w:pPr>
      <w:r>
        <w:rPr>
          <w:rFonts w:ascii="Times New Roman;serif" w:hAnsi="Times New Roman;serif"/>
          <w:b w:val="false"/>
          <w:color w:val="000000"/>
          <w:sz w:val="20"/>
        </w:rPr>
        <w:t>Year Ended</w:t>
      </w:r>
      <w:r>
        <w:rPr>
          <w:color w:val="000000"/>
        </w:rPr>
        <w:t xml:space="preserve"> </w:t>
      </w:r>
      <w:r>
        <w:rPr>
          <w:rFonts w:ascii="Times New Roman;serif" w:hAnsi="Times New Roman;serif"/>
          <w:b w:val="false"/>
          <w:color w:val="000000"/>
          <w:sz w:val="20"/>
        </w:rPr>
        <w:t>December 31, 2025 compared to</w:t>
      </w:r>
      <w:r>
        <w:rPr>
          <w:color w:val="000000"/>
        </w:rPr>
        <w:t xml:space="preserve"> </w:t>
      </w:r>
      <w:r>
        <w:rPr>
          <w:rFonts w:ascii="Times New Roman;serif" w:hAnsi="Times New Roman;serif"/>
          <w:b w:val="false"/>
          <w:color w:val="000000"/>
          <w:sz w:val="20"/>
        </w:rPr>
        <w:t>Year Ended</w:t>
      </w:r>
      <w:r>
        <w:rPr>
          <w:color w:val="000000"/>
        </w:rPr>
        <w:t xml:space="preserve"> </w:t>
      </w:r>
      <w:r>
        <w:rPr>
          <w:rFonts w:ascii="Times New Roman;serif" w:hAnsi="Times New Roman;serif"/>
          <w:b w:val="false"/>
          <w:color w:val="000000"/>
          <w:sz w:val="20"/>
        </w:rPr>
        <w:t>December 31, 2024</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cash flows for the periods indicated are summarized in the table below (in thousands): </w:t>
      </w:r>
    </w:p>
    <w:tbl>
      <w:tblPr>
        <w:tblW w:w="7538" w:type="dxa"/>
        <w:jc w:val="center"/>
        <w:tblInd w:w="0" w:type="dxa"/>
        <w:tblLayout w:type="fixed"/>
        <w:tblCellMar>
          <w:top w:w="28" w:type="dxa"/>
          <w:left w:w="28" w:type="dxa"/>
          <w:bottom w:w="28" w:type="dxa"/>
          <w:right w:w="28" w:type="dxa"/>
        </w:tblCellMar>
      </w:tblPr>
      <w:tblGrid>
        <w:gridCol w:w="1784"/>
        <w:gridCol w:w="1570"/>
        <w:gridCol w:w="1580"/>
        <w:gridCol w:w="211"/>
        <w:gridCol w:w="796"/>
        <w:gridCol w:w="109"/>
        <w:gridCol w:w="109"/>
        <w:gridCol w:w="109"/>
        <w:gridCol w:w="109"/>
        <w:gridCol w:w="211"/>
        <w:gridCol w:w="796"/>
        <w:gridCol w:w="154"/>
      </w:tblGrid>
      <w:tr>
        <w:trPr/>
        <w:tc>
          <w:tcPr>
            <w:tcW w:w="1784"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for the year ended December 31, 2025 was $94.4 million and consisted of a net loss of $585.5 million and a $4.4 million change in our operating assets and liabilities, partially offset by $495.5 million in non-cash adjustments. Non-cash adjustments primarily consisted of an aggregate loss of $210.7 million on issuance of Series A cumulative redeemable convertible preferred stock, common stock, and common stock warrants,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$190.1 million in the change in fair value of SAFEs, $35.0 million in the change in fair value of common stock warrants, $24.4 million in the change in fair value of second lien loans, $19.1 million in stock-based compensation, $7.3 million in the change in fair value of redeemable convertible preferred stock warrant liabilities, $3.2 million transaction costs allocated to warrant liabilities, $3.2 million in depreciation and amortization, and $1.9 million in non-cash lease expense. The change in our operating assets and liabilities was primarily due to a $2.2 million increase in our prepaid expenses and other current assets primarily due to the timing of payments, $1.9 million decrease in operating lease liabilities, and a $1.1 million decrease in our accounts payable and accrued expenses and other current liabilities due to the timing of payments.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for the year ended December 31, 2024 was $51.0 million and consisted of a net loss of $69.5 million, partially offset by a $16.1 million in non-cash adjustments, and a $2.4 million change in our operating assets and liabilities. Non-cash adjustments primarily consisted of $5.6 million in stock-based compensation, $4.6 million in depreciation and amortization, $4.1 million in change in fair value of SAFEs, and $1.8 million in non-cash lease expense. The change in our operating assets and liabilities was primarily due to an increase of $5.1 million in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69"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due to the timing of payments, partially offset by a $1.8 million decrease in operating lease liabilities, and a $1.0 million increase in our account receivables due to timing.</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for the year ended December 31, 2025 was $91.4 million, consisting of $69.4 million in purchase of marketable securities and $22.0 million in purchases of property and equipment.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year ended December 31, 2024 was $3.2 million and primarily related to purchases of property and equipment.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year ended December 31, 2025 was $219.9 million and consisted of $145.0 million in proceeds from the Series A Preferred Stock, $43.9 million in proceeds from the issuance of second lien loans, $29.7 million in proceeds from issuance of debt, net of issuance costs, $26.2 million in proceeds from the reverse recapitalization, net of transaction costs, $23.7 million in proceeds from the issuance of SAFEs, and $1.4 million from exercise of stock options, partially offset by $33.4 million for the repayment of debt obligations and $16.6 million payments for deferred offering costs.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year ended December 31, 2024 was $43.1 million and primarily consisted of $45.2 million in proceeds from the issuance of SAFEs, partially offset by $2.2 million for the repayment of debt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Contractual Obligations and Other Commitments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Debt Agreements</w:t>
      </w:r>
    </w:p>
    <w:p>
      <w:pPr>
        <w:pStyle w:val="TextBody"/>
        <w:bidi w:val="0"/>
        <w:spacing w:lineRule="auto" w:line="288" w:before="0" w:after="240"/>
        <w:ind w:left="0" w:right="0" w:firstLine="49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2025 Second Lien Credit Facility</w:t>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Concurrent with the execution of the BCA in April 2025, we entered into a Second Lien Loan and Security Agreement. Certain institutional and accredited investors committed to providing bridge financing in the form of secured convertible notes, which was subsequently amended to extend the deadline to fund the delayed draw second lien loans and to include additional investors. Prior to the Closing, $53.9 million had been funded, including $10.0 million from the exchange of a SAFE from an affiliate of AACT (the “Exchanged SAFE Loan”). The second lien loans carry a prime plus 9.00% per annum interest rate, subject to a minimum rate of 13.75%, which interest is paid in kind and capitalized and mature on October 1, 2026. In March 2026, we amended the Second Lien Loan and Security Agreement to make certain conforming changes on account of us becoming a public company and to join Kodiak AI, Inc. as a borrower. Other than the Exchanged SAFE Loan, borrowings under the Second Lien Loan and Security Agreement automatically converted immediately prior to the consummation of the Merger into Legacy Kodiak common stock, which subsequently converted into shares of our common stock. As such, as of December 31, 2025, the $10.0 million Exchanged SAFE Loan remains outstanding. </w:t>
      </w:r>
    </w:p>
    <w:p>
      <w:pPr>
        <w:pStyle w:val="TextBody"/>
        <w:bidi w:val="0"/>
        <w:spacing w:lineRule="auto" w:line="288" w:before="240" w:after="240"/>
        <w:ind w:left="0" w:right="0" w:firstLine="49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Promissory Notes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From April through August 2025, we issued secured promissory notes with respect to our reimbursement obligations to AACT and the Sponsor, which were secured under the Second Lien Loan and Security Agreement. At the Closing, the aggregate outstanding principal amount of the promissory notes was $4.9 million, which was paid in full. As such, no amounts remain outstanding under such promissory notes as of December 31, 2025.</w:t>
      </w:r>
    </w:p>
    <w:p>
      <w:pPr>
        <w:pStyle w:val="TextBody"/>
        <w:bidi w:val="0"/>
        <w:spacing w:lineRule="auto" w:line="288" w:before="0" w:after="240"/>
        <w:ind w:left="0" w:right="0" w:firstLine="49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2025 Credit Facility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2022, we entered into a venture loan and security agreement (the “2022 Credit Facility”) with an affiliate of Horizon Technology Finance Corporation to borrow secured term loans of up to an aggregate principal amount of $30.0 million. In December 2025, the 2022 Credit Facility was amended to increase our available borrowings and extend the maturity date (the “2025 Credit Facility”). The 2025 Credit Facility provided for borrowings in secured term loans up to an aggregate principal amount of $30.0 million, which was drawn in full upon execution. The proceeds (i) were used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70"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repay existing indebtedness under the 2022 Credit Facility related to the outstanding principal balance of $15.0 million and the final repayment fee of $1.2 million and (ii) will be used for working capital and general corporate purposes.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outstanding term loans under the 2025 Credit Facility in an aggregate principal amount of $30.0 million. Borrowings under the 2025 Credit Facility mature in January 2030 and provide for interest-only payments from February 1, 2026 to July 1, 2028. Consecutive payments of principal and interest are due beginning on August 1, 2028 once the interest-only period elapses. Outstanding loans bear interest that is payable monthly at 3.50% plus the greater of (i) 6.50% and (ii) the prime rate. A final payment of $1.2 million is due upon the earlier of prepayment or maturity of the debt.</w:t>
      </w:r>
    </w:p>
    <w:p>
      <w:pPr>
        <w:pStyle w:val="TextBody"/>
        <w:bidi w:val="0"/>
        <w:spacing w:lineRule="auto" w:line="288" w:before="0" w:after="240"/>
        <w:ind w:left="0" w:right="0" w:firstLine="49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2022 Equipment Financing</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July 2022, we entered into a financing agreement with a lender, Western Alliance Equipment Finance, LLC, to borrow up to $10.0 million as secured equipment line advances (the “2022 Equipment Facility”). As of December 31, 2025, we had outstanding debt under the 2022 Equipment Facility in an aggregate principal amount of $1.9 million at an interest rate ranging from approximately 6.0% to 7.0%, of which $1.1 million is due within one year. The 2022 Equipment Facility matures on March 1, 2028.</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Each of our credit facilities contains a number of customary affirmative and negative covenants. Among other things, those covenants limit or restrict our ability to: incur additional indebtedness, including guaranty obligations; incur liens; engage in mergers, consolidations, liquidations and dissolutions; sell assets; pay dividends and make other payments in respect of capital stock; make acquisitions, investments, loans and advances; make payments on or modify the terms of certain existing indebtedness; engage in certain transactions with affiliates; enter into negative pledge clauses with respect to our intellectual property; and change our line of business, in each case, subject to certain limited exceptions. As of December 31, 2025, we were in compliance with all covenants under our debt agreements.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See Note 8 to our consolidated financial statements included in Part II, Item 8 of this Annual Report for additional information regarding our debt agreements.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Other Commitments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other cash requirements greater than a one-year period as of December 31, 2025 were related to leases and certain purchase commitments with our service providers.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operating lease arrangements are related to facilities located in Mountain View, California, as well as in Lancaster and Odessa, Texas, under non-cancellable agreements expiring at various dates through 2031. As of December 31, 2025, the total undiscounted future lease payments under our operating leases were $7.1 million.</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may enter into purchase commitments with our service providers. As of December 31, 2025, the total purchase commitments under such vendor agreements were $7.4 million.</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See Note 7 and Note 10 in our consolidated financial statements included in Part II, Item 8 of this Annual Report for additional information regarding our leases and other commitments,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Emerging Growth Company Status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These include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71"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standards until those standards would otherwise apply to private companies. We intend to continue to take advantage of the benefits of this extended transition period.</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expect to remain an emerging growth company until the earlier of (1) the last day of the year (i) following April 4, 2028, which is the fifth anniversary of the effective date of AACT’s IPO registration statement, (ii) in which we have total annual gross revenue of at least $1.235 billion, or (iii) in which we are deemed to be a large accelerated filer, which means the market value of our common stock that is held by non-affiliates equals or exceeds $700.0 million as of the prior June 30, or (2) the date on which we have issued more than $1.0 billion in non-convertible debt securities during the prior three-year period.</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had elected to use the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financial statements may not be comparable to companies that comply with the new or revised accounting pronouncements as of public company effective dates. The JOBS Act does not preclude an emerging growth company from adopting a new or revised accounting standard earlier than the time that such standard applies to private companies. We expect to continue to use the extended transition period for any other new or revised accounting standards during the period in which we remain an emerging growth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our financial condition and results of operations is based on our consolidated financial statements, which have been prepared in accordance with GAAP. The preparation of our consolidated financial statements requires us to make estimates and assumptions that affect the reported amounts of assets, liabilities,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believe that the accounting policies discussed below are critical to understanding our historical and future performance, as these policies relate to the more significant areas involving management’s judgments and estimates.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generate revenue from licensing the Kodiak Driver to its customers under its DaaS model, the delivery of freight via its own Kodiak Driver-powered trucks and the provision of services to the U.S. military to automate ground vehicles. We recognize revenue when customers obtain control of promised goods or services in an amount that reflects the consideration it expects to receive for those goods or services. We apply the following five-step revenue recognition model in accounting for its revenue arrangements:</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identification of the contract, or contracts, with a customer;</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identification of the performance obligations in the contract;</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determination of the transaction price;</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allocation of the transaction price to the performance obligations in the contract; and</w:t>
      </w:r>
    </w:p>
    <w:p>
      <w:pPr>
        <w:pStyle w:val="TextBody"/>
        <w:bidi w:val="0"/>
        <w:spacing w:lineRule="auto" w:line="288" w:before="0" w:after="240"/>
        <w:ind w:left="0" w:right="0" w:hanging="450"/>
        <w:jc w:val="left"/>
        <w:rPr/>
      </w:pPr>
      <w:r>
        <w:rPr>
          <w:color w:val="000000"/>
        </w:rPr>
        <w:t>•</w:t>
      </w:r>
      <w:r>
        <w:rPr>
          <w:rFonts w:ascii="Times New Roman;serif" w:hAnsi="Times New Roman;serif"/>
          <w:b w:val="false"/>
          <w:color w:val="000000"/>
          <w:sz w:val="20"/>
        </w:rPr>
        <w:t>recognition of revenue when, or as, the performance obligations are satisfied.</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performance obligations for our initial revenues have primarily been satisfied upon a point in time when control is transferred to our customers.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management may be required to exercise considerable judgment in estimating revenue to be recognized. Judgment is required in identifying performance obligations and whether there are multiple promises that should be a combined performance obligation. Generally, our performance obligations consist of either a single distinct good or service, or a combination of goods or services that are bundled together and accounted for as a single performance obligation when they are not separately identifiable. Additionally, evaluating how control is transferred, when or as performance obligations are satisfied can require significant judgment.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72"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estimate the fair value of stock options granted under our equity incentive plan on the grant date using the Black-Scholes option pricing model, which requires us to make a number of assumptions. See Note 14 of our consolidated financial statements included in Part II, Item 8 of this report for a complete discussion of our stock-based compensation plans. The grant-date fair value of stock-based awards is generally recognized on a straight-line basis over the requisite service period, which is generally the vesting period of the awards.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Black-Scholes option pricing model requires the use of subjective assumptions to determine the fair value of stock-based awards including:</w:t>
      </w:r>
    </w:p>
    <w:p>
      <w:pPr>
        <w:pStyle w:val="TextBody"/>
        <w:bidi w:val="0"/>
        <w:spacing w:lineRule="auto" w:line="288" w:before="0" w:after="120"/>
        <w:ind w:left="0" w:right="0" w:hanging="450"/>
        <w:jc w:val="left"/>
        <w:rPr/>
      </w:pPr>
      <w:r>
        <w:rPr>
          <w:color w:val="000000"/>
        </w:rPr>
        <w:t>•</w:t>
      </w:r>
      <w:r>
        <w:rPr>
          <w:rFonts w:ascii="Times New Roman;serif" w:hAnsi="Times New Roman;serif"/>
          <w:b w:val="false"/>
          <w:i/>
          <w:color w:val="000000"/>
          <w:sz w:val="20"/>
        </w:rPr>
        <w:t xml:space="preserve">Fair Value of Common Stock </w:t>
      </w:r>
      <w:r>
        <w:rPr>
          <w:color w:val="000000"/>
        </w:rPr>
        <w:t>– </w:t>
      </w:r>
      <w:r>
        <w:rPr>
          <w:rFonts w:ascii="Times New Roman;serif" w:hAnsi="Times New Roman;serif"/>
          <w:b w:val="false"/>
          <w:color w:val="000000"/>
          <w:sz w:val="20"/>
        </w:rPr>
        <w:t>Prior to the Merger, there had been no public market for our common stock. Therefore, management and/or the board of directors had historically determined the fair market value of our common stock at the time of grant by considering a number of objective and subjective factors, including valuations of comparable companies, sales of redeemable convertible preferred stock to unrelated third parties, operating and financial performance, lack of liquidity of capital stock and general and industry-specific economic outlook, among other factors.</w:t>
      </w:r>
    </w:p>
    <w:p>
      <w:pPr>
        <w:pStyle w:val="TextBody"/>
        <w:bidi w:val="0"/>
        <w:spacing w:lineRule="auto" w:line="288" w:before="0" w:after="120"/>
        <w:ind w:left="0" w:right="0" w:hanging="450"/>
        <w:jc w:val="left"/>
        <w:rPr/>
      </w:pPr>
      <w:r>
        <w:rPr>
          <w:color w:val="000000"/>
        </w:rPr>
        <w:t>•</w:t>
      </w:r>
      <w:r>
        <w:rPr>
          <w:rFonts w:ascii="Times New Roman;serif" w:hAnsi="Times New Roman;serif"/>
          <w:b w:val="false"/>
          <w:i/>
          <w:color w:val="000000"/>
          <w:sz w:val="20"/>
        </w:rPr>
        <w:t>Expected Term</w:t>
      </w:r>
      <w:r>
        <w:rPr>
          <w:color w:val="000000"/>
        </w:rPr>
        <w:t xml:space="preserve"> – </w:t>
      </w:r>
      <w:r>
        <w:rPr>
          <w:rFonts w:ascii="Times New Roman;serif" w:hAnsi="Times New Roman;serif"/>
          <w:b w:val="false"/>
          <w:color w:val="000000"/>
          <w:sz w:val="20"/>
        </w:rPr>
        <w:t>The expected term represents the period that our stock-based awards are expected to be outstanding and is determined using the simplified method. The simplified method calculates the expected term as the average of the time-to-vesting and the contractual life of the award.</w:t>
      </w:r>
    </w:p>
    <w:p>
      <w:pPr>
        <w:pStyle w:val="TextBody"/>
        <w:bidi w:val="0"/>
        <w:spacing w:lineRule="auto" w:line="288" w:before="0" w:after="120"/>
        <w:ind w:left="0" w:right="0" w:hanging="450"/>
        <w:jc w:val="left"/>
        <w:rPr/>
      </w:pPr>
      <w:r>
        <w:rPr>
          <w:color w:val="000000"/>
        </w:rPr>
        <w:t>•</w:t>
      </w:r>
      <w:r>
        <w:rPr>
          <w:rFonts w:ascii="Times New Roman;serif" w:hAnsi="Times New Roman;serif"/>
          <w:b w:val="false"/>
          <w:i/>
          <w:color w:val="000000"/>
          <w:sz w:val="20"/>
        </w:rPr>
        <w:t xml:space="preserve">Expected Volatility </w:t>
      </w:r>
      <w:r>
        <w:rPr>
          <w:color w:val="000000"/>
        </w:rPr>
        <w:t>– </w:t>
      </w:r>
      <w:r>
        <w:rPr>
          <w:rFonts w:ascii="Times New Roman;serif" w:hAnsi="Times New Roman;serif"/>
          <w:b w:val="false"/>
          <w:color w:val="000000"/>
          <w:sz w:val="20"/>
        </w:rPr>
        <w:t>As there is limited trading history for our common stock, expected volatility is determined based on the average volatility of comparable publicly traded companies over a period equal to the expected term assumption. Comparable companies are chosen based on their similar size, stage in the life cycle or industry.</w:t>
      </w:r>
    </w:p>
    <w:p>
      <w:pPr>
        <w:pStyle w:val="TextBody"/>
        <w:bidi w:val="0"/>
        <w:spacing w:lineRule="auto" w:line="288" w:before="0" w:after="120"/>
        <w:ind w:left="0" w:right="0" w:hanging="450"/>
        <w:jc w:val="left"/>
        <w:rPr/>
      </w:pPr>
      <w:r>
        <w:rPr>
          <w:color w:val="000000"/>
        </w:rPr>
        <w:t>•</w:t>
      </w:r>
      <w:r>
        <w:rPr>
          <w:rFonts w:ascii="Times New Roman;serif" w:hAnsi="Times New Roman;serif"/>
          <w:b w:val="false"/>
          <w:i/>
          <w:color w:val="000000"/>
          <w:sz w:val="20"/>
        </w:rPr>
        <w:t>Risk-Free Interest Rate</w:t>
      </w:r>
      <w:r>
        <w:rPr>
          <w:color w:val="000000"/>
        </w:rPr>
        <w:t xml:space="preserve"> – </w:t>
      </w:r>
      <w:r>
        <w:rPr>
          <w:rFonts w:ascii="Times New Roman;serif" w:hAnsi="Times New Roman;serif"/>
          <w:b w:val="false"/>
          <w:color w:val="000000"/>
          <w:sz w:val="20"/>
        </w:rPr>
        <w:t>The risk-free interest rate is based on the U.S. Treasury yield curve in effect at the time of grant of the award for time periods approximately equal to the expected term of award.</w:t>
      </w:r>
    </w:p>
    <w:p>
      <w:pPr>
        <w:pStyle w:val="TextBody"/>
        <w:bidi w:val="0"/>
        <w:spacing w:lineRule="auto" w:line="288" w:before="0" w:after="240"/>
        <w:ind w:left="0" w:right="0" w:hanging="450"/>
        <w:jc w:val="left"/>
        <w:rPr/>
      </w:pPr>
      <w:r>
        <w:rPr>
          <w:color w:val="000000"/>
        </w:rPr>
        <w:t>•</w:t>
      </w:r>
      <w:r>
        <w:rPr>
          <w:rFonts w:ascii="Times New Roman;serif" w:hAnsi="Times New Roman;serif"/>
          <w:b w:val="false"/>
          <w:i/>
          <w:color w:val="000000"/>
          <w:sz w:val="20"/>
        </w:rPr>
        <w:t xml:space="preserve">Expected Dividend </w:t>
      </w:r>
      <w:r>
        <w:rPr>
          <w:color w:val="000000"/>
        </w:rPr>
        <w:t>– </w:t>
      </w:r>
      <w:r>
        <w:rPr>
          <w:rFonts w:ascii="Times New Roman;serif" w:hAnsi="Times New Roman;serif"/>
          <w:b w:val="false"/>
          <w:color w:val="000000"/>
          <w:sz w:val="20"/>
        </w:rPr>
        <w:t>The expected dividend yield assumption is zero as we have never paid and have no plans to pay dividends on our common stock in the foreseeable future.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These assumptions involve inherent uncertainties and the application of significant judgment. As a result, if factors or expected outcomes change and we use significantly different assumptions or estimates, our stock-based compensation expense could be materially different.</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Valuation of Financial Instruments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have issued certain financial instruments, such as second lien loans, SAFEs, redeemable convertible preferred stock warrant liabilities, and common stock warrant liabilities that require (i) a higher degree of judgment in estimating their fair values as of each reporting period and (ii) the use of valuation models that are dependent on management estimates and assumptions, primarily related to expected volatility, expected term, probabilities of triggering events, discount rates and risk-free interest rates. Generally, expected volatility is determined based on the historical equity volatility of comparable companies over a period that matches the expected term of the instrument. The expected term is based on the contractual term or management’s best estimate based on the timing of certain events. The probability of a triggering event is based on management’s best estimate of the events occurring. The discount interest rate is generally based on the rate implied by the transaction as well as comparable companies and the risk-free interest rate is based on relevant U.S. Treasury rates for a period that matches the expected term of the instrument. If actual results are not consistent with our estimates or assumptions, the valuations underlying the issued financial instruments could be materially different.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See Note 2 of our consolidated financial statements included in Part II, Item 8 of this Annual Report for more information about recent accounting pronouncements that may potentially have an impact on our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73"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One Big Beautiful Bill Act</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July 2025, the One Big Beautiful Bill Act (“OBBBA”) was signed into law. The Company evaluated the potential impact of the OBBBA legislation on its financial position, results of operations and cash flows. However, due to the Company’s taxable loss position and valuation allowance on its deferred tax assets, the OBBBA did not have a material impact on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are exposed to various market and operational risks, including changes in interest rates and inflation, as well as risks related to the availability of funding sources, hazard events, and certain asset exposures.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results of operations are exposed to fluctuations in interest rates and broader macroeconomic conditions. Interest rate risk is influenced by numerous factors, including governmental monetary and fiscal policies, domestic and international economic conditions, and other factors beyond our control. We do not believe that a hypothetical 100-basis-point increase or decrease in interest rates would have a material impact on our business, financial condition, or results of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Inflation Risk</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do not believe that inflation has had a material impact on our business, financial condition, or results of operations, apart from its effects on the general economy. We continue to monitor inflationary trends, including the potential impact of tariffs and related cost pressures. If inflation were to increase our operating costs, we may not be able to fully offset these higher costs through corresponding price adjustments, which could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74"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36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880" w:type="dxa"/>
        <w:jc w:val="center"/>
        <w:tblInd w:w="0" w:type="dxa"/>
        <w:tblLayout w:type="fixed"/>
        <w:tblCellMar>
          <w:top w:w="28" w:type="dxa"/>
          <w:left w:w="28" w:type="dxa"/>
          <w:bottom w:w="28" w:type="dxa"/>
          <w:right w:w="28" w:type="dxa"/>
        </w:tblCellMar>
      </w:tblPr>
      <w:tblGrid>
        <w:gridCol w:w="3011"/>
        <w:gridCol w:w="2645"/>
        <w:gridCol w:w="2653"/>
        <w:gridCol w:w="167"/>
        <w:gridCol w:w="167"/>
        <w:gridCol w:w="237"/>
      </w:tblGrid>
      <w:tr>
        <w:trPr/>
        <w:tc>
          <w:tcPr>
            <w:tcW w:w="3011"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30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Index To Consolidated Financial Statements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Page</w:t>
            </w:r>
          </w:p>
        </w:tc>
      </w:tr>
      <w:tr>
        <w:trPr/>
        <w:tc>
          <w:tcPr>
            <w:tcW w:w="8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ib8d4c0322044448ab394c86998693fbc_975">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(Deloitte &amp; Touche LLP) (PCAOB ID: 34)</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8d4c0322044448ab394c86998693fbc_975">
              <w:r>
                <w:rPr>
                  <w:rStyle w:val="InternetLink"/>
                  <w:rFonts w:ascii="Times New Roman;serif" w:hAnsi="Times New Roman;serif"/>
                  <w:b w:val="false"/>
                  <w:color w:val="0000FF"/>
                  <w:sz w:val="20"/>
                  <w:u w:val="single"/>
                </w:rPr>
                <w:t>68</w:t>
              </w:r>
            </w:hyperlink>
          </w:p>
        </w:tc>
      </w:tr>
      <w:tr>
        <w:trPr/>
        <w:tc>
          <w:tcPr>
            <w:tcW w:w="83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992">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(Ernst &amp; Young LLP) (PCAOB ID: 42)</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8d4c0322044448ab394c86998693fbc_992">
              <w:r>
                <w:rPr>
                  <w:rStyle w:val="InternetLink"/>
                  <w:rFonts w:ascii="Times New Roman;serif" w:hAnsi="Times New Roman;serif"/>
                  <w:b w:val="false"/>
                  <w:color w:val="0000FF"/>
                  <w:sz w:val="20"/>
                  <w:u w:val="single"/>
                </w:rPr>
                <w:t>69</w:t>
              </w:r>
            </w:hyperlink>
          </w:p>
        </w:tc>
      </w:tr>
      <w:tr>
        <w:trPr/>
        <w:tc>
          <w:tcPr>
            <w:tcW w:w="83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19">
              <w:r>
                <w:rPr>
                  <w:rStyle w:val="InternetLink"/>
                  <w:rFonts w:ascii="Times New Roman;serif" w:hAnsi="Times New Roman;serif"/>
                  <w:b w:val="false"/>
                  <w:color w:val="0000FF"/>
                  <w:sz w:val="20"/>
                  <w:u w:val="singl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8d4c0322044448ab394c86998693fbc_19">
              <w:r>
                <w:rPr>
                  <w:rStyle w:val="InternetLink"/>
                  <w:rFonts w:ascii="Times New Roman;serif" w:hAnsi="Times New Roman;serif"/>
                  <w:b w:val="false"/>
                  <w:color w:val="0000FF"/>
                  <w:sz w:val="20"/>
                  <w:u w:val="single"/>
                </w:rPr>
                <w:t>70</w:t>
              </w:r>
            </w:hyperlink>
          </w:p>
        </w:tc>
      </w:tr>
      <w:tr>
        <w:trPr/>
        <w:tc>
          <w:tcPr>
            <w:tcW w:w="83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22">
              <w:r>
                <w:rPr>
                  <w:rStyle w:val="InternetLink"/>
                  <w:rFonts w:ascii="Times New Roman;serif" w:hAnsi="Times New Roman;serif"/>
                  <w:b w:val="false"/>
                  <w:color w:val="0000FF"/>
                  <w:sz w:val="20"/>
                  <w:u w:val="single"/>
                </w:rPr>
                <w:t>Consolidated Statements of Operations and Comprehensive Loss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8d4c0322044448ab394c86998693fbc_22">
              <w:r>
                <w:rPr>
                  <w:rStyle w:val="InternetLink"/>
                  <w:rFonts w:ascii="Times New Roman;serif" w:hAnsi="Times New Roman;serif"/>
                  <w:b w:val="false"/>
                  <w:color w:val="0000FF"/>
                  <w:sz w:val="20"/>
                  <w:u w:val="single"/>
                </w:rPr>
                <w:t>72</w:t>
              </w:r>
            </w:hyperlink>
          </w:p>
        </w:tc>
      </w:tr>
      <w:tr>
        <w:trPr/>
        <w:tc>
          <w:tcPr>
            <w:tcW w:w="83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25">
              <w:r>
                <w:rPr>
                  <w:rStyle w:val="InternetLink"/>
                  <w:rFonts w:ascii="Times New Roman;serif" w:hAnsi="Times New Roman;serif"/>
                  <w:b w:val="false"/>
                  <w:color w:val="0000FF"/>
                  <w:sz w:val="20"/>
                  <w:u w:val="single"/>
                </w:rPr>
                <w:t>Consolidated Statements of Redeemable Convertible Preferred Stock and Stockholders’ Deficit</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8d4c0322044448ab394c86998693fbc_25">
              <w:r>
                <w:rPr>
                  <w:rStyle w:val="InternetLink"/>
                  <w:rFonts w:ascii="Times New Roman;serif" w:hAnsi="Times New Roman;serif"/>
                  <w:b w:val="false"/>
                  <w:color w:val="0000FF"/>
                  <w:sz w:val="20"/>
                  <w:u w:val="single"/>
                </w:rPr>
                <w:t>73</w:t>
              </w:r>
            </w:hyperlink>
          </w:p>
        </w:tc>
      </w:tr>
      <w:tr>
        <w:trPr/>
        <w:tc>
          <w:tcPr>
            <w:tcW w:w="83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28">
              <w:r>
                <w:rPr>
                  <w:rStyle w:val="InternetLink"/>
                  <w:rFonts w:ascii="Times New Roman;serif" w:hAnsi="Times New Roman;serif"/>
                  <w:b w:val="false"/>
                  <w:color w:val="0000FF"/>
                  <w:sz w:val="20"/>
                  <w:u w:val="singl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8d4c0322044448ab394c86998693fbc_28">
              <w:r>
                <w:rPr>
                  <w:rStyle w:val="InternetLink"/>
                  <w:rFonts w:ascii="Times New Roman;serif" w:hAnsi="Times New Roman;serif"/>
                  <w:b w:val="false"/>
                  <w:color w:val="0000FF"/>
                  <w:sz w:val="20"/>
                  <w:u w:val="single"/>
                </w:rPr>
                <w:t>74</w:t>
              </w:r>
            </w:hyperlink>
          </w:p>
        </w:tc>
      </w:tr>
      <w:tr>
        <w:trPr/>
        <w:tc>
          <w:tcPr>
            <w:tcW w:w="83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d4c0322044448ab394c86998693fbc_31">
              <w:r>
                <w:rPr>
                  <w:rStyle w:val="InternetLink"/>
                  <w:rFonts w:ascii="Times New Roman;serif" w:hAnsi="Times New Roman;serif"/>
                  <w:b w:val="false"/>
                  <w:color w:val="000080"/>
                  <w:sz w:val="20"/>
                  <w:u w:val="single"/>
                </w:rPr>
                <w:t xml:space="preserve">Notes to </w:t>
              </w:r>
            </w:hyperlink>
            <w:hyperlink w:anchor="ib8d4c0322044448ab394c86998693fbc_31">
              <w:r>
                <w:rPr>
                  <w:rStyle w:val="InternetLink"/>
                  <w:rFonts w:ascii="Times New Roman;serif" w:hAnsi="Times New Roman;serif"/>
                  <w:b w:val="false"/>
                  <w:color w:val="000080"/>
                  <w:sz w:val="20"/>
                  <w:u w:val="single"/>
                </w:rPr>
                <w:t xml:space="preserve">Consolidated </w:t>
              </w:r>
            </w:hyperlink>
            <w:hyperlink w:anchor="ib8d4c0322044448ab394c86998693fbc_31">
              <w:r>
                <w:rPr>
                  <w:rStyle w:val="InternetLink"/>
                  <w:rFonts w:ascii="Times New Roman;serif" w:hAnsi="Times New Roman;serif"/>
                  <w:b w:val="false"/>
                  <w:color w:val="000080"/>
                  <w:sz w:val="20"/>
                  <w:u w:val="single"/>
                </w:rPr>
                <w:t>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8d4c0322044448ab394c86998693fbc_31">
              <w:r>
                <w:rPr>
                  <w:rStyle w:val="InternetLink"/>
                  <w:rFonts w:ascii="Times New Roman;serif" w:hAnsi="Times New Roman;serif"/>
                  <w:b w:val="false"/>
                  <w:color w:val="0000FF"/>
                  <w:sz w:val="20"/>
                  <w:u w:val="single"/>
                </w:rPr>
                <w:t>75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474345"/>
                <wp:effectExtent l="0" t="0" r="0" b="0"/>
                <wp:wrapNone/>
                <wp:docPr id="75" name="Frame71"/>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Report of Independent Registered Public Accounting Firm </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To the Stockholders and the Board of Directors of Kodiak AI, Inc. </w:t>
      </w:r>
    </w:p>
    <w:p>
      <w:pPr>
        <w:pStyle w:val="TextBody"/>
        <w:bidi w:val="0"/>
        <w:spacing w:lineRule="auto" w:line="288" w:before="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Opinion on the Financial Statements </w:t>
      </w:r>
    </w:p>
    <w:p>
      <w:pPr>
        <w:pStyle w:val="TextBody"/>
        <w:bidi w:val="0"/>
        <w:spacing w:lineRule="auto" w:line="288" w:before="0" w:after="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have audited the accompanying balance sheets of Kodiak AI, Inc. (the “Company”) as of December 31, 2025 and 2024, the related statement of operations and comprehensive loss, redeemable convertible preferred stock and stockholders’ deficit, and cash flows, for each of the two years in the period ended December 31, 2025 and 2024,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and 2024 in conformity with accounting principles generally accepted in the United States of America. </w:t>
      </w:r>
    </w:p>
    <w:p>
      <w:pPr>
        <w:pStyle w:val="TextBody"/>
        <w:bidi w:val="0"/>
        <w:spacing w:lineRule="auto" w:line="288" w:before="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Going Concern </w:t>
      </w:r>
    </w:p>
    <w:p>
      <w:pPr>
        <w:pStyle w:val="TextBody"/>
        <w:bidi w:val="0"/>
        <w:spacing w:lineRule="auto" w:line="288" w:before="0" w:after="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accompanying financial statements have been prepared assuming that the Company will continue as a going concern. As discussed in Note 1 to the financial statements, the Company has recurring losses and negative cash flows from operations, and has stated that substantial doubt exists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 </w:t>
      </w:r>
    </w:p>
    <w:p>
      <w:pPr>
        <w:pStyle w:val="TextBody"/>
        <w:bidi w:val="0"/>
        <w:spacing w:lineRule="auto" w:line="288" w:before="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Basis for Opinion </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 Deloitte &amp; Touche LLP </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San Jose, California </w:t>
      </w:r>
    </w:p>
    <w:p>
      <w:pPr>
        <w:pStyle w:val="TextBody"/>
        <w:bidi w:val="0"/>
        <w:spacing w:lineRule="auto" w:line="288" w:before="0" w:after="240"/>
        <w:jc w:val="left"/>
        <w:rPr/>
      </w:pPr>
      <w:r>
        <w:rPr>
          <w:rFonts w:ascii="Times New Roman;serif" w:hAnsi="Times New Roman;serif"/>
          <w:b w:val="false"/>
          <w:color w:val="000000"/>
          <w:sz w:val="20"/>
        </w:rPr>
        <w:t>March 11, 2026</w:t>
      </w:r>
      <w:r>
        <w:rPr>
          <w:color w:val="000000"/>
          <w:shd w:fill="FFFFFF" w:val="clear"/>
        </w:rPr>
        <w:t xml:space="preserve"> </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have served as the Company’s auditor since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474345"/>
                <wp:effectExtent l="0" t="0" r="0" b="0"/>
                <wp:wrapNone/>
                <wp:docPr id="76" name="Frame72"/>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Report of Independent Registered Public Accounting Firm</w:t>
      </w:r>
    </w:p>
    <w:p>
      <w:pPr>
        <w:pStyle w:val="TextBody"/>
        <w:bidi w:val="0"/>
        <w:spacing w:lineRule="auto" w:line="288" w:before="0" w:after="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the Stockholders and the Board of Directors of Kodiak AI, Inc.</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Opinion on the Financial Statements </w:t>
      </w:r>
    </w:p>
    <w:p>
      <w:pPr>
        <w:pStyle w:val="TextBody"/>
        <w:bidi w:val="0"/>
        <w:spacing w:lineRule="auto" w:line="288" w:before="0" w:after="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audited the accompanying consolidated balance sheet of Kodiak AI, Inc. (formerly Kodiak Robotics, Inc., the Company) as of December 31, 2023, the related consolidated statements of operations and comprehensive loss, redeemable convertible preferred stock and stockholders’ deficit and cash flows for the year then ended, and the related notes (collectively referred to as the “consolidated financial statements”). In our opinion, the consolidated financial statements present fairly, in all material respects, the financial position of the Company at December 31, 2023, and the results of its operations and its cash flows for the year then ended, in conformity with U.S. generally accepted accounting principles.</w:t>
      </w:r>
    </w:p>
    <w:p>
      <w:pPr>
        <w:pStyle w:val="TextBody"/>
        <w:bidi w:val="0"/>
        <w:spacing w:lineRule="auto" w:line="256" w:before="0" w:after="24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The Company's Ability to Continue as a Going Concern</w:t>
      </w:r>
    </w:p>
    <w:p>
      <w:pPr>
        <w:pStyle w:val="TextBody"/>
        <w:bidi w:val="0"/>
        <w:spacing w:lineRule="auto" w:line="288" w:before="0" w:after="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accompanying consolidated financial statements have been prepared assuming that the Company will continue as a going concern. As discussed in Note 1 to the financial statements, the Company has recurring losses from operations, has a working capital deficiency,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Basis for Opinion </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lineRule="auto" w:line="288" w:before="0" w:after="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 </w:t>
      </w:r>
    </w:p>
    <w:p>
      <w:pPr>
        <w:pStyle w:val="TextBody"/>
        <w:bidi w:val="0"/>
        <w:spacing w:lineRule="auto" w:line="288" w:before="0" w:after="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 Ernst &amp; Young LLP </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have served as the Company’s auditor since 2023 to 2025. </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San Jose, CA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May 14, 2025,</w:t>
      </w:r>
    </w:p>
    <w:p>
      <w:pPr>
        <w:pStyle w:val="TextBody"/>
        <w:bidi w:val="0"/>
        <w:spacing w:lineRule="auto" w:line="256"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except for the effects of the reverse recapitalization described in Note 1 and Note 3, as to which the date is </w:t>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March 11,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474345"/>
                <wp:effectExtent l="0" t="0" r="0" b="0"/>
                <wp:wrapNone/>
                <wp:docPr id="77" name="Frame73"/>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(In thousands, except par values)</w:t>
      </w:r>
    </w:p>
    <w:tbl>
      <w:tblPr>
        <w:tblW w:w="10205" w:type="dxa"/>
        <w:jc w:val="left"/>
        <w:tblInd w:w="0" w:type="dxa"/>
        <w:tblLayout w:type="fixed"/>
        <w:tblCellMar>
          <w:top w:w="28" w:type="dxa"/>
          <w:left w:w="28" w:type="dxa"/>
          <w:bottom w:w="28" w:type="dxa"/>
          <w:right w:w="28" w:type="dxa"/>
        </w:tblCellMar>
      </w:tblPr>
      <w:tblGrid>
        <w:gridCol w:w="3129"/>
        <w:gridCol w:w="2359"/>
        <w:gridCol w:w="2156"/>
        <w:gridCol w:w="211"/>
        <w:gridCol w:w="826"/>
        <w:gridCol w:w="109"/>
        <w:gridCol w:w="109"/>
        <w:gridCol w:w="109"/>
        <w:gridCol w:w="109"/>
        <w:gridCol w:w="211"/>
        <w:gridCol w:w="721"/>
        <w:gridCol w:w="156"/>
      </w:tblGrid>
      <w:tr>
        <w:trPr/>
        <w:tc>
          <w:tcPr>
            <w:tcW w:w="3129"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64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35,561 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redeemable convertible preferred stock and stockholders’ deficit</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Second lien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31,218 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Simple agreements for future 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 warrant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10)</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Redeemable convertible preferred stock</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Series A cumulative redeemable convertible preferred stock, par value $0.0001; 20,000 and no shares authorized as of December 31, 2025 and December 31, 2024, respectively; 142 and no shares issued and outstanding as of December 31, 2025 and December 31, 2024,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 par value $0.0001; no and 98,127 shares authorized as of December 31, 2025 and December 31, 2024, respectively; no and 62,240 shares issued and outstanding as of December 31, 2025 and December 31, 2024,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170,648 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Stockholders’ deficit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Common stock, $0.0001 par value; 1,980,000 and 265,000 shares authorized as of December 31, 2025 and December 31, 2024, respectively; 175,440</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and 58,057 shares issued and outstanding as of December 31, 2025 and December 31, 2024,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474345"/>
                <wp:effectExtent l="0" t="0" r="0" b="0"/>
                <wp:wrapNone/>
                <wp:docPr id="78" name="Frame74"/>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tbl>
      <w:tblPr>
        <w:tblW w:w="9504" w:type="dxa"/>
        <w:jc w:val="left"/>
        <w:tblInd w:w="0" w:type="dxa"/>
        <w:tblLayout w:type="fixed"/>
        <w:tblCellMar>
          <w:top w:w="28" w:type="dxa"/>
          <w:left w:w="28" w:type="dxa"/>
          <w:bottom w:w="28" w:type="dxa"/>
          <w:right w:w="28" w:type="dxa"/>
        </w:tblCellMar>
      </w:tblPr>
      <w:tblGrid>
        <w:gridCol w:w="2513"/>
        <w:gridCol w:w="2211"/>
        <w:gridCol w:w="2221"/>
        <w:gridCol w:w="211"/>
        <w:gridCol w:w="826"/>
        <w:gridCol w:w="109"/>
        <w:gridCol w:w="109"/>
        <w:gridCol w:w="109"/>
        <w:gridCol w:w="109"/>
        <w:gridCol w:w="211"/>
        <w:gridCol w:w="721"/>
        <w:gridCol w:w="154"/>
      </w:tblGrid>
      <w:tr>
        <w:trPr/>
        <w:tc>
          <w:tcPr>
            <w:tcW w:w="2513"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(853,669)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(268,144)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stockholders’ deficit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(283,052)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(250,835)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redeemable convertible preferred stock and stockholders’ deficit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________________________</w:t>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4" w:type="dxa"/>
            <w:gridSpan w:val="12"/>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2"/>
              </w:rPr>
              <w:t>1</w:t>
            </w:r>
            <w:r>
              <w:rPr>
                <w:color w:val="000000"/>
              </w:rPr>
              <w:t xml:space="preserve"> </w:t>
            </w:r>
            <w:r>
              <w:rPr>
                <w:rFonts w:ascii="Times New Roman;serif" w:hAnsi="Times New Roman;serif"/>
                <w:b w:val="false"/>
                <w:color w:val="000000"/>
                <w:sz w:val="18"/>
              </w:rPr>
              <w:t>Excludes 6,250,000 shares legally issued and outstanding related to sponsor earn out securities (see Note 3).</w:t>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474345"/>
                <wp:effectExtent l="0" t="0" r="0" b="0"/>
                <wp:wrapNone/>
                <wp:docPr id="79" name="Frame75"/>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Loss</w:t>
      </w:r>
    </w:p>
    <w:p>
      <w:pPr>
        <w:pStyle w:val="TextBody"/>
        <w:bidi w:val="0"/>
        <w:spacing w:lineRule="auto" w:line="288" w:before="0" w:after="240"/>
        <w:jc w:val="center"/>
        <w:rPr/>
      </w:pPr>
      <w:r>
        <w:rPr>
          <w:rFonts w:ascii="Times New Roman;serif" w:hAnsi="Times New Roman;serif"/>
          <w:b/>
          <w:color w:val="000000"/>
          <w:sz w:val="20"/>
        </w:rPr>
        <w:t>(In thousands, except per share amounts)</w:t>
      </w:r>
      <w:r>
        <w:rPr>
          <w:color w:val="000000"/>
        </w:rPr>
        <w:t> </w:t>
      </w:r>
    </w:p>
    <w:tbl>
      <w:tblPr>
        <w:tblW w:w="10205" w:type="dxa"/>
        <w:jc w:val="left"/>
        <w:tblInd w:w="0" w:type="dxa"/>
        <w:tblLayout w:type="fixed"/>
        <w:tblCellMar>
          <w:top w:w="28" w:type="dxa"/>
          <w:left w:w="28" w:type="dxa"/>
          <w:bottom w:w="28" w:type="dxa"/>
          <w:right w:w="28" w:type="dxa"/>
        </w:tblCellMar>
      </w:tblPr>
      <w:tblGrid>
        <w:gridCol w:w="1981"/>
        <w:gridCol w:w="1553"/>
        <w:gridCol w:w="1575"/>
        <w:gridCol w:w="109"/>
        <w:gridCol w:w="109"/>
        <w:gridCol w:w="109"/>
        <w:gridCol w:w="124"/>
        <w:gridCol w:w="124"/>
        <w:gridCol w:w="124"/>
        <w:gridCol w:w="124"/>
        <w:gridCol w:w="240"/>
        <w:gridCol w:w="1010"/>
        <w:gridCol w:w="124"/>
        <w:gridCol w:w="109"/>
        <w:gridCol w:w="109"/>
        <w:gridCol w:w="109"/>
        <w:gridCol w:w="211"/>
        <w:gridCol w:w="777"/>
        <w:gridCol w:w="109"/>
        <w:gridCol w:w="109"/>
        <w:gridCol w:w="109"/>
        <w:gridCol w:w="109"/>
        <w:gridCol w:w="211"/>
        <w:gridCol w:w="777"/>
        <w:gridCol w:w="160"/>
      </w:tblGrid>
      <w:tr>
        <w:trPr/>
        <w:tc>
          <w:tcPr>
            <w:tcW w:w="1981"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0"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2899" w:type="dxa"/>
            <w:gridSpan w:val="12"/>
            <w:tcBorders/>
          </w:tcPr>
          <w:p>
            <w:pPr>
              <w:pStyle w:val="TableContents"/>
              <w:bidi w:val="0"/>
              <w:spacing w:before="0" w:after="283"/>
              <w:jc w:val="left"/>
              <w:rPr>
                <w:sz w:val="4"/>
                <w:szCs w:val="4"/>
              </w:rPr>
            </w:pPr>
            <w:r>
              <w:rPr>
                <w:sz w:val="4"/>
                <w:szCs w:val="4"/>
              </w:rPr>
            </w:r>
          </w:p>
        </w:tc>
      </w:tr>
      <w:tr>
        <w:trPr/>
        <w:tc>
          <w:tcPr>
            <w:tcW w:w="5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16,946 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50,157 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39,469 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36,741 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Truck and freight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24,771 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116,422 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70,795 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(112,625)</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(53,849)</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issuance of equity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(210,722)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common stock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(35,018)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second lien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(24,387)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simple agreements for future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(190,075)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redeemable convertible preferred stock warrant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(472,897)</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(585,522)</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(56,936)</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(585,525)</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(56,945)</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marketable securities,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(585,503)</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(56,955)</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57,932</w:t>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474345"/>
                <wp:effectExtent l="0" t="0" r="0" b="0"/>
                <wp:wrapNone/>
                <wp:docPr id="80" name="Frame76"/>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Consolidated Statements of Redeemable Convertible Preferred Stock and Stockholders’ Deficit</w:t>
      </w:r>
    </w:p>
    <w:p>
      <w:pPr>
        <w:pStyle w:val="TextBody"/>
        <w:bidi w:val="0"/>
        <w:spacing w:lineRule="auto" w:line="288" w:before="120" w:after="240"/>
        <w:jc w:val="center"/>
        <w:rPr>
          <w:rFonts w:ascii="Times New Roman;serif" w:hAnsi="Times New Roman;serif"/>
          <w:b/>
          <w:color w:val="000000"/>
          <w:sz w:val="20"/>
        </w:rPr>
      </w:pPr>
      <w:r>
        <w:rPr>
          <w:rFonts w:ascii="Times New Roman;serif" w:hAnsi="Times New Roman;serif"/>
          <w:b/>
          <w:color w:val="000000"/>
          <w:sz w:val="20"/>
        </w:rPr>
        <w:t>(In thousands)</w:t>
      </w:r>
    </w:p>
    <w:tbl>
      <w:tblPr>
        <w:tblW w:w="11889" w:type="dxa"/>
        <w:jc w:val="center"/>
        <w:tblInd w:w="0" w:type="dxa"/>
        <w:tblLayout w:type="fixed"/>
        <w:tblCellMar>
          <w:top w:w="28" w:type="dxa"/>
          <w:left w:w="28" w:type="dxa"/>
          <w:bottom w:w="28" w:type="dxa"/>
          <w:right w:w="28" w:type="dxa"/>
        </w:tblCellMar>
      </w:tblPr>
      <w:tblGrid>
        <w:gridCol w:w="615"/>
        <w:gridCol w:w="225"/>
        <w:gridCol w:w="226"/>
        <w:gridCol w:w="109"/>
        <w:gridCol w:w="109"/>
        <w:gridCol w:w="109"/>
        <w:gridCol w:w="330"/>
        <w:gridCol w:w="331"/>
        <w:gridCol w:w="196"/>
        <w:gridCol w:w="109"/>
        <w:gridCol w:w="109"/>
        <w:gridCol w:w="109"/>
        <w:gridCol w:w="196"/>
        <w:gridCol w:w="736"/>
        <w:gridCol w:w="109"/>
        <w:gridCol w:w="109"/>
        <w:gridCol w:w="109"/>
        <w:gridCol w:w="109"/>
        <w:gridCol w:w="109"/>
        <w:gridCol w:w="109"/>
        <w:gridCol w:w="109"/>
        <w:gridCol w:w="330"/>
        <w:gridCol w:w="331"/>
        <w:gridCol w:w="196"/>
        <w:gridCol w:w="109"/>
        <w:gridCol w:w="109"/>
        <w:gridCol w:w="109"/>
        <w:gridCol w:w="196"/>
        <w:gridCol w:w="406"/>
        <w:gridCol w:w="109"/>
        <w:gridCol w:w="109"/>
        <w:gridCol w:w="109"/>
        <w:gridCol w:w="109"/>
        <w:gridCol w:w="196"/>
        <w:gridCol w:w="736"/>
        <w:gridCol w:w="109"/>
        <w:gridCol w:w="109"/>
        <w:gridCol w:w="109"/>
        <w:gridCol w:w="109"/>
        <w:gridCol w:w="196"/>
        <w:gridCol w:w="751"/>
        <w:gridCol w:w="109"/>
        <w:gridCol w:w="109"/>
        <w:gridCol w:w="109"/>
        <w:gridCol w:w="109"/>
        <w:gridCol w:w="335"/>
        <w:gridCol w:w="694"/>
        <w:gridCol w:w="187"/>
        <w:gridCol w:w="109"/>
        <w:gridCol w:w="109"/>
        <w:gridCol w:w="109"/>
        <w:gridCol w:w="196"/>
        <w:gridCol w:w="751"/>
        <w:gridCol w:w="154"/>
      </w:tblGrid>
      <w:tr>
        <w:trPr/>
        <w:tc>
          <w:tcPr>
            <w:tcW w:w="61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Redeemable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Convertible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Additional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Paid-In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Stockholders’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Deficit</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93,963 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86,360 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(141,740)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(135,128)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Reverse recapitalization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(31,723)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(29,155)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62,240 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57,205 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(141,740)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(135,128)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Correction of an immaterial error of redeemable convertible preferred</w:t>
              <w:br/>
              <w:t>stock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(56,945)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62,240 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57,776 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(198,685)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(187,098)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(69,459)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58,057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(268,144)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(250,835)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Conversion of redeemable convertible preferred stock in connection with reverse recapitalization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(62,240)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5"/>
              </w:rPr>
              <w:t>Reverse recapitalization transaction, net of transaction costs</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52,513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361,167 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Series A redeemable convertible preferred stock issued in connection with reverse recapitalization,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in connection with debt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upon exercise of common stock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(585,525)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(585,525)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570,578 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(853,669)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(283,052)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9" w:type="dxa"/>
            <w:gridSpan w:val="54"/>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Excludes 6,250,000 shares legally issued and outstanding related to sponsor earn out securities (see Note 3).</w:t>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474345"/>
                <wp:effectExtent l="0" t="0" r="0" b="0"/>
                <wp:wrapNone/>
                <wp:docPr id="81" name="Frame77"/>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120"/>
        <w:jc w:val="center"/>
        <w:rPr/>
      </w:pPr>
      <w:r>
        <w:rPr>
          <w:rFonts w:ascii="Times New Roman;serif" w:hAnsi="Times New Roman;serif"/>
          <w:b/>
          <w:color w:val="000000"/>
          <w:sz w:val="20"/>
        </w:rPr>
        <w:t>(In thousands</w:t>
      </w:r>
      <w:r>
        <w:rPr>
          <w:rFonts w:ascii="Times New Roman;serif" w:hAnsi="Times New Roman;serif"/>
          <w:b w:val="false"/>
          <w:color w:val="000000"/>
          <w:sz w:val="20"/>
        </w:rPr>
        <w:t>)</w:t>
      </w:r>
      <w:r>
        <w:rPr>
          <w:color w:val="000000"/>
        </w:rPr>
        <w:t> </w:t>
      </w:r>
    </w:p>
    <w:tbl>
      <w:tblPr>
        <w:tblW w:w="10205" w:type="dxa"/>
        <w:jc w:val="left"/>
        <w:tblInd w:w="0" w:type="dxa"/>
        <w:tblLayout w:type="fixed"/>
        <w:tblCellMar>
          <w:top w:w="28" w:type="dxa"/>
          <w:left w:w="28" w:type="dxa"/>
          <w:bottom w:w="28" w:type="dxa"/>
          <w:right w:w="28" w:type="dxa"/>
        </w:tblCellMar>
      </w:tblPr>
      <w:tblGrid>
        <w:gridCol w:w="2494"/>
        <w:gridCol w:w="1815"/>
        <w:gridCol w:w="1828"/>
        <w:gridCol w:w="211"/>
        <w:gridCol w:w="872"/>
        <w:gridCol w:w="109"/>
        <w:gridCol w:w="109"/>
        <w:gridCol w:w="109"/>
        <w:gridCol w:w="109"/>
        <w:gridCol w:w="211"/>
        <w:gridCol w:w="767"/>
        <w:gridCol w:w="109"/>
        <w:gridCol w:w="109"/>
        <w:gridCol w:w="109"/>
        <w:gridCol w:w="109"/>
        <w:gridCol w:w="211"/>
        <w:gridCol w:w="767"/>
        <w:gridCol w:w="157"/>
      </w:tblGrid>
      <w:tr>
        <w:trPr/>
        <w:tc>
          <w:tcPr>
            <w:tcW w:w="2494"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(56,945)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discount on marketable securities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 allocated to common stock warrants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second lien loans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simple agreements for future equity</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redeemable convertible preferred stock warrant liabilities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common stock warrants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issuance of equity instruments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(43,842)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marketable securities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(30,452)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deposits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17,278 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debt, net of issuance costs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second lien loans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simple agreements for future equity</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Series A cumulative redeemable convertible preferred stock</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reverse recapitalization, net of transaction costs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common stock warrants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deferred offering costs</w:t>
            </w:r>
          </w:p>
        </w:tc>
        <w:tc>
          <w:tcPr>
            <w:tcW w:w="108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(16,618)</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12,029 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 and restricted cash</w:t>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(14,535)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at beginning of period</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43,741 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29,206 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Components of cash and restricted cash at period end:</w:t>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and restricted cash</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29,206 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activities:</w:t>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activities:</w:t>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included in accounts payable and accrued expenses and other 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 obtained in exchange for operating lease liability upon modification of operating lease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 obtained in exchange for operating lease liability upon new operating lease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 included in prepaid and other 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common stock warrants included in prepaid and other 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simple agreements for future equity into common stock in connection with reverse recapitalization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redeemable preferred stock into common stock in connection with reverse recapitalization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second lien loans into common stock in connection with reverse recapitalization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transaction costs in common stock in connection with reverse recapitalization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of simple agreements for future equity for second lien loan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exercise of warrants in connection with reverse recapitalization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non-redemption common stock in connection with reverse recapitalization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6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assumed from reverse recapitalization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613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61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a debt agreement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474345"/>
                <wp:effectExtent l="0" t="0" r="0" b="0"/>
                <wp:wrapNone/>
                <wp:docPr id="82" name="Frame78"/>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
        </w:rPr>
      </w:pPr>
      <w:r>
        <w:rPr>
          <w:rFonts w:ascii="Times New Roman;serif" w:hAnsi="Times New Roman;serif"/>
          <w:b/>
          <w:color w:val="000000"/>
          <w:sz w:val="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 Description of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Kodiak AI, Inc. and its wholly owned subsidiary (the “Company” or “Kodiak”), headquartered in Mountain View, California, is a provider of artificial intelligence (“AI”)-powered autonomous vehicle technology. This technology addresses the needs of the long-haul trucking, industrial trucking, and defense industries. The Company’s core offering, the Kodiak Driver, is a single-platform virtual driver that combines advanced AI software with modular hardware for customer deployments. All Company operations are conducted in the United States.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was originally incorporated in the Cayman Islands as an exempted company on March 15, 2021 under the name Ares Acquisition Corporation II (“AACT”). AACT was created as a special purpose acquisition company with the purpose of effecting a merger or similar transaction with one or more businesses.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contemplated by a definitive business combination agreement dated April 14, 2025 (the “BCA”), Kodiak consummated the merger transaction (the “Merger”) on September 24, 2025 (the “Closing Date” or “Closing”), whereby AAC II Merger Sub, Inc. (“Merger Sub”), a direct wholly owned subsidiary of AACT, merged with and into Kodiak Robotics, Inc. (“Legacy Kodiak”), a Delaware corporation. In connection with the Merger, AACT domesticated as a Delaware corporation and changed its name to Kodiak AI, Inc.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Merger was accounted for as a reverse recapitalization, with Legacy Kodiak being the accounting acquirer and AACT the acquired company for accounting purposes. As a result of the Merger, all historical financial information presented in the consolidated financial statements represent the accounts of Legacy Kodiak. Pursuant to the BCA, the share and per share amounts prior to the Closing have been retroactively converted as shares reflecting the per share merger consideration established in the Closing.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common stock is listed on the Nasdaq under the symbol “KDK,” and the Company’s warrants to purchase shares of common stock are listed on the Nasdaq under the symbol “KDKRW.”</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Liquidity and Going Concern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incurred recurring net losses and negative cash flows from operations since inception and, as of December 31, 2025, had an accumulated deficit of $853.7 million. As of December 31, 2025, the Company had cash and cash equivalents and marketable securities totaling $120.7 million, and short-term debt obligations totaled $11.9 million consisting of current portion of debt and second lien loans. The Company expects to incur additional losses and increased expenses in future periods as it continues to scale its business, invest in research and development efforts, increase employee headcount, and incur other expenses commonly associated with being a public company. </w:t>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future capital requirements are influenced by the rate of adoption of its Kodiak Driver and Driver-as-a-Service (“DaaS”) model, launched in December 2024, as well as associated revenue growth, operating expenses, and research and development activities. To support its operating plan, management expects to seek additional funding through debt or equity offerings, including in the near term in the form of issuing equity and equity-linked securities and incurring additional indebtedness. If additional capital is not obtained, management may need to modify its operational plan by reducing research and development initiatives and lowering growth expectations. These factors in the aggregate raise substantial doubt regarding the Company’s ability to continue as a going concern for at least one year after the filing date of these consolidated financial statements. The Company’s current cash and cash equivalents and marketable securities are expected to fund the Company’s business plan into the fourth quarter of 2026. The consolidated financial statements do not include any adjustments that might be necessary if the Company is unable to continue as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have been prepared in accordance with U.S. generally accepted accounting principles (“GAAP”) and the requirements of the Securities and Exchange Commission (the “SEC”) for annual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474345"/>
                <wp:effectExtent l="0" t="0" r="0" b="0"/>
                <wp:wrapNone/>
                <wp:docPr id="83" name="Frame79"/>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in the consolidated financial statements and accompanying notes. These estimates form the basis for the judgments the Company makes about the carrying values of assets and liabilities that are not readily apparent from other sources, and the reported amounts of revenues and expenses during the reporting period. The Company bases its estimates and judgments on historical experience and on various other assumptions that the Company believes are reasonable under the circumstances. These estimates are based on management’s knowledge about current events and expectations about actions the Company may undertake in the future. These judgments, estimates, and assumptions relate to, among other things, the estimated useful lives of property and equipment, the assessment of impairment of long-lived assets, the fair value of redeemable convertible preferred stock warrants (prior to the reverse recapitalization), the fair value of each simple agreement for future equity (“SAFE”) (prior to the reverse recapitalization), the fair value of the Company’s common stock (prior to the reverse recapitalization), the fair value of the Company’s common stock warrants, the measurement of stock-based compensation, the determination of the incremental borrowing rate for operating lease liabilities, the evaluation of uncertain tax positions, and the assessment of the valuation allowance for deferred tax assets. Actual results may differ from these estimates.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Risk and Uncertainties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has devoted most of its time and resources to developing its proprietary autonomous vehicle technology and first deployed the Kodiak Driver in a customer-owned vehicle in December 2024. The Company’s business and operations may be impacted by general business and economic conditions worldwide. These conditions include short-term and long-term interest rates, inflation, fluctuations in debt and equity capital markets and the general condition of the world economy, including uncertainty around tariffs. A host of factors beyond the Company’s control could cause fluctuations in these conditions. Adverse developments in these general business and economic conditions could have a material adverse effect on the Company’s financial condition and the results of its operations. In addition, the Company competes with companies that possess significant financial resources and well-established development, marketing, and sales capabilities. The Company may be unable to compete successfully against these companies. The Company’s industry is characterized by rapid changes in technology and market demands. As a result, the Company’s products, services, or expertise may become obsolete or unmarketable. The Company’s future success will depend on its ability to adapt to technological advances, anticipate customer and market demands, and enhance its current technology.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Segment Reporting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manages its operations as one operating and reportable segment. The Company’s chief operating decision maker (“CODM”), its Chief Executive Officer, manages the Company’s operations on a consolidated basis for the purposes of allocating resources and evaluating financial performance. The CODM reviews significant segment expenses based on functional line items as disclosed in the consolidated statements of operations and comprehensive loss.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are cash deposits and highly liquid investments, such as money market funds and U.S. Treasury securities, that are readily convertible to known amounts of cash and are subject to insignificant risk of change including due to interest rate, quoted price, or penalty of withdrawal. Marketable securities with an original maturity of 90 days or less when purchased are considered to be cash equivalents.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Restricted cash consists of funds that are contractually restricted as to usage or withdrawal, typically due to the Company’s operating lease agreements. Restricted cash, which is unavailable for a period longer than one year from the balance sheet date, is classified as a noncurrent asset. Otherwise, restricted cash is included in other current assets in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474345"/>
                <wp:effectExtent l="0" t="0" r="0" b="0"/>
                <wp:wrapNone/>
                <wp:docPr id="84" name="Frame80"/>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Concentration of Risks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significant concentrations of credit risk consist primarily of cash and cash equivalents and restricted cash deposited in accounts at several financial institutions that may exceed the Federal Deposit Insurance Corporation’s insurance limit. The Company is exposed to credit risk in the event of a default by the financial institutions holding its cash and cash equivalents and restricted cash to the extent recorded on the balance sheets of such financial institutions. The Company believes it is not exposed to significant credit risk due to the financial position of the financial institutions in which those deposits are held.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is also subject to credit risk from its accounts receivable and does not require any collateral. As of December 31, 2025 and 2024, the Company’s balance of accounts receivable was $0.9 million and $1.3 million, respectively. Customers that represented 10% or greater of the Company’s accounts receivable balance were as follows as of the periods presented:</w:t>
      </w:r>
    </w:p>
    <w:tbl>
      <w:tblPr>
        <w:tblW w:w="2806" w:type="dxa"/>
        <w:jc w:val="center"/>
        <w:tblInd w:w="0" w:type="dxa"/>
        <w:tblLayout w:type="fixed"/>
        <w:tblCellMar>
          <w:top w:w="28" w:type="dxa"/>
          <w:left w:w="28" w:type="dxa"/>
          <w:bottom w:w="28" w:type="dxa"/>
          <w:right w:w="28" w:type="dxa"/>
        </w:tblCellMar>
      </w:tblPr>
      <w:tblGrid>
        <w:gridCol w:w="391"/>
        <w:gridCol w:w="344"/>
        <w:gridCol w:w="345"/>
        <w:gridCol w:w="203"/>
        <w:gridCol w:w="203"/>
        <w:gridCol w:w="271"/>
        <w:gridCol w:w="109"/>
        <w:gridCol w:w="109"/>
        <w:gridCol w:w="109"/>
        <w:gridCol w:w="202"/>
        <w:gridCol w:w="204"/>
        <w:gridCol w:w="316"/>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Customers representing 10% or more of the Company’s revenue for the years ended December 31, 2025, 2024 and 2023 were as follows:</w:t>
      </w:r>
    </w:p>
    <w:tbl>
      <w:tblPr>
        <w:tblW w:w="3765" w:type="dxa"/>
        <w:jc w:val="center"/>
        <w:tblInd w:w="0" w:type="dxa"/>
        <w:tblLayout w:type="fixed"/>
        <w:tblCellMar>
          <w:top w:w="28" w:type="dxa"/>
          <w:left w:w="28" w:type="dxa"/>
          <w:bottom w:w="28" w:type="dxa"/>
          <w:right w:w="28" w:type="dxa"/>
        </w:tblCellMar>
      </w:tblPr>
      <w:tblGrid>
        <w:gridCol w:w="391"/>
        <w:gridCol w:w="344"/>
        <w:gridCol w:w="345"/>
        <w:gridCol w:w="180"/>
        <w:gridCol w:w="181"/>
        <w:gridCol w:w="271"/>
        <w:gridCol w:w="109"/>
        <w:gridCol w:w="109"/>
        <w:gridCol w:w="109"/>
        <w:gridCol w:w="202"/>
        <w:gridCol w:w="204"/>
        <w:gridCol w:w="271"/>
        <w:gridCol w:w="109"/>
        <w:gridCol w:w="109"/>
        <w:gridCol w:w="109"/>
        <w:gridCol w:w="202"/>
        <w:gridCol w:w="204"/>
        <w:gridCol w:w="316"/>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Marketable Securities</w:t>
      </w:r>
    </w:p>
    <w:p>
      <w:pPr>
        <w:pStyle w:val="TextBody"/>
        <w:bidi w:val="0"/>
        <w:spacing w:lineRule="auto" w:line="288" w:before="0" w:after="240"/>
        <w:jc w:val="left"/>
        <w:rPr/>
      </w:pPr>
      <w:r>
        <w:rPr>
          <w:rFonts w:ascii="Times New Roman;serif" w:hAnsi="Times New Roman;serif"/>
          <w:b w:val="false"/>
          <w:color w:val="000000"/>
          <w:sz w:val="20"/>
        </w:rPr>
        <w:t xml:space="preserve">The Company invests its excess cash in marketable debt securities with high credit ratings, including money market funds and securities issued by the U.S. government and its agencies that are accounted for as available-for-sale and carried at fair value. The Company classifies its marketable securities as current assets, including those with maturities beyond 12 months, as the Company’s intention is to use the proceeds from sales of its securities to fund its operations. The amortized cost of debt securities is adjusted for amortization of premiums and accretion of discounts to maturity, which is included in </w:t>
      </w:r>
      <w:r>
        <w:rPr>
          <w:rFonts w:ascii="Times New Roman;serif" w:hAnsi="Times New Roman;serif"/>
          <w:b w:val="false"/>
          <w:i/>
          <w:color w:val="000000"/>
          <w:sz w:val="20"/>
        </w:rPr>
        <w:t>interest income and other, net</w:t>
      </w:r>
      <w:r>
        <w:rPr>
          <w:color w:val="000000"/>
        </w:rPr>
        <w:t xml:space="preserve"> </w:t>
      </w:r>
      <w:r>
        <w:rPr>
          <w:rFonts w:ascii="Times New Roman;serif" w:hAnsi="Times New Roman;serif"/>
          <w:b w:val="false"/>
          <w:color w:val="000000"/>
          <w:sz w:val="20"/>
        </w:rPr>
        <w:t xml:space="preserve">in the consolidated statements of operations and comprehensive loss. Unrealized gains or losses, net of taxes, if any, are included in </w:t>
      </w:r>
      <w:r>
        <w:rPr>
          <w:rFonts w:ascii="Times New Roman;serif" w:hAnsi="Times New Roman;serif"/>
          <w:b w:val="false"/>
          <w:i/>
          <w:color w:val="000000"/>
          <w:sz w:val="20"/>
        </w:rPr>
        <w:t>accumulated other comprehensive income</w:t>
      </w:r>
      <w:r>
        <w:rPr>
          <w:color w:val="000000"/>
        </w:rPr>
        <w:t xml:space="preserve"> </w:t>
      </w:r>
      <w:r>
        <w:rPr>
          <w:rFonts w:ascii="Times New Roman;serif" w:hAnsi="Times New Roman;serif"/>
          <w:b w:val="false"/>
          <w:color w:val="000000"/>
          <w:sz w:val="20"/>
        </w:rPr>
        <w:t xml:space="preserve">in the consolidated balance sheets and in </w:t>
      </w:r>
      <w:r>
        <w:rPr>
          <w:rFonts w:ascii="Times New Roman;serif" w:hAnsi="Times New Roman;serif"/>
          <w:b w:val="false"/>
          <w:i/>
          <w:color w:val="000000"/>
          <w:sz w:val="20"/>
        </w:rPr>
        <w:t>unrealized gains (losses) on marketable securities</w:t>
      </w:r>
      <w:r>
        <w:rPr>
          <w:color w:val="000000"/>
        </w:rPr>
        <w:t xml:space="preserve"> </w:t>
      </w:r>
      <w:r>
        <w:rPr>
          <w:rFonts w:ascii="Times New Roman;serif" w:hAnsi="Times New Roman;serif"/>
          <w:b w:val="false"/>
          <w:color w:val="000000"/>
          <w:sz w:val="20"/>
        </w:rPr>
        <w:t xml:space="preserve">in the consolidated statements of operations and comprehensive loss. Realized gains and losses on marketable securities, if any, are included in </w:t>
      </w:r>
      <w:r>
        <w:rPr>
          <w:rFonts w:ascii="Times New Roman;serif" w:hAnsi="Times New Roman;serif"/>
          <w:b w:val="false"/>
          <w:i/>
          <w:color w:val="000000"/>
          <w:sz w:val="20"/>
        </w:rPr>
        <w:t>interest income and other, net</w:t>
      </w:r>
      <w:r>
        <w:rPr>
          <w:rFonts w:ascii="Times New Roman;serif" w:hAnsi="Times New Roman;serif"/>
          <w:b w:val="false"/>
          <w:color w:val="000000"/>
          <w:sz w:val="20"/>
        </w:rPr>
        <w:t>. The cost of securities sold is determined based on the trade date using the specific identification method.</w:t>
      </w:r>
    </w:p>
    <w:p>
      <w:pPr>
        <w:pStyle w:val="TextBody"/>
        <w:bidi w:val="0"/>
        <w:spacing w:lineRule="auto" w:line="288" w:before="0" w:after="240"/>
        <w:jc w:val="left"/>
        <w:rPr/>
      </w:pPr>
      <w:r>
        <w:rPr>
          <w:rFonts w:ascii="Times New Roman;serif" w:hAnsi="Times New Roman;serif"/>
          <w:b w:val="false"/>
          <w:color w:val="000000"/>
          <w:sz w:val="20"/>
        </w:rPr>
        <w:t xml:space="preserve">The Company periodically assesses its marketable debt securities for impairment. For debt securities in an unrealized loss position, this assessment first considers the Company’s intent to sell, or whether it is more likely than not that it will be required to sell the security before recovery of its amortized cost basis. If either of these criteria are met, the debt security’s amortized cost basis is written down to fair value within </w:t>
      </w:r>
      <w:r>
        <w:rPr>
          <w:rFonts w:ascii="Times New Roman;serif" w:hAnsi="Times New Roman;serif"/>
          <w:b w:val="false"/>
          <w:i/>
          <w:color w:val="000000"/>
          <w:sz w:val="20"/>
        </w:rPr>
        <w:t>interest income and other, net</w:t>
      </w:r>
      <w:r>
        <w:rPr>
          <w:rFonts w:ascii="Times New Roman;serif" w:hAnsi="Times New Roman;serif"/>
          <w:b w:val="false"/>
          <w:color w:val="000000"/>
          <w:sz w:val="20"/>
        </w:rPr>
        <w:t xml:space="preserve">. For debt securities in an unrealized loss position that do not meet the aforementioned criteria, the Company assesses whether the decline in fair value has resulted from credit losses or other factors. If a credit loss exists, an allowance for credit losses is recorded within </w:t>
      </w:r>
      <w:r>
        <w:rPr>
          <w:rFonts w:ascii="Times New Roman;serif" w:hAnsi="Times New Roman;serif"/>
          <w:b w:val="false"/>
          <w:i/>
          <w:color w:val="000000"/>
          <w:sz w:val="20"/>
        </w:rPr>
        <w:t>interest income and other, net</w:t>
      </w:r>
      <w:r>
        <w:rPr>
          <w:color w:val="000000"/>
        </w:rPr>
        <w:t xml:space="preserve"> </w:t>
      </w:r>
      <w:r>
        <w:rPr>
          <w:rFonts w:ascii="Times New Roman;serif" w:hAnsi="Times New Roman;serif"/>
          <w:b w:val="false"/>
          <w:color w:val="000000"/>
          <w:sz w:val="20"/>
        </w:rPr>
        <w:t xml:space="preserve">to the extent the fair value is less than the amortized cost basis. No impairment losses have been recognized on marketable securities in the periods presented.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Fair value is defined as the price that would be received to sell an asset or paid to transfer a liability (an exit price) in the principal or most advantageous market for the asset or liability in an orderly transaction between market participants at the measurement date. The Company measures fair value by maximizing the use of observable inputs, where available,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474345"/>
                <wp:effectExtent l="0" t="0" r="0" b="0"/>
                <wp:wrapNone/>
                <wp:docPr id="85" name="Frame81"/>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minimizing the use of unobservable inputs. Financial assets and liabilities recorded at fair value in the consolidated balance sheets are categorized in the fair value hierarchy based upon the lowest level of input that is significant to the fair value as follows:</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Level 1—Observable inputs such as unadjusted, quoted prices in active markets for identical assets or liabilities at the measurement date. </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Level 2—Inputs (other than quoted prices included in Level 1) are either directly or indirectly observable inputs for similar assets or liabilities. These include quoted prices for identical or similar assets or liabilities in active markets and quoted prices for identical or similar assets or liabilities in markets that are not active.</w:t>
      </w:r>
    </w:p>
    <w:p>
      <w:pPr>
        <w:pStyle w:val="TextBody"/>
        <w:bidi w:val="0"/>
        <w:spacing w:lineRule="auto" w:line="288" w:before="0" w:after="240"/>
        <w:ind w:left="0" w:right="0" w:hanging="450"/>
        <w:jc w:val="left"/>
        <w:rPr/>
      </w:pPr>
      <w:r>
        <w:rPr>
          <w:color w:val="000000"/>
        </w:rPr>
        <w:t>•</w:t>
      </w:r>
      <w:r>
        <w:rPr>
          <w:rFonts w:ascii="Times New Roman;serif" w:hAnsi="Times New Roman;serif"/>
          <w:b w:val="false"/>
          <w:color w:val="000000"/>
          <w:sz w:val="20"/>
        </w:rPr>
        <w:t>Level 3—Unobservable inputs that are supported by little or no market activity and that are significant to the fair value of the assets or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of the instrument.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Accounts receivable are unsecured assets where the Company has unconditional rights to consideration and are recorded at the invoiced amount net of any allowance for credit losses. The Company provides an allowance for expected credit losses based upon the Company’s estimate of collectability of the accounts receivable balances by considering factors such as contractual payment terms, historical experience, credit quality, the age of the account receivable balances, and current economic conditions that may affect a customer’s ability to pay. As of December 31, 2025 and 2024, there was no allowance for expected credit losses.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is stated at cost less accumulated depreciation. Equipment and hardware primarily consist of autonomous vehicle hardware. Depreciation is recorded on a straight-line basis over the estimated useful lives of the assets, as follows:</w:t>
      </w:r>
    </w:p>
    <w:tbl>
      <w:tblPr>
        <w:tblW w:w="5969" w:type="dxa"/>
        <w:jc w:val="center"/>
        <w:tblInd w:w="0" w:type="dxa"/>
        <w:tblLayout w:type="fixed"/>
        <w:tblCellMar>
          <w:top w:w="28" w:type="dxa"/>
          <w:left w:w="28" w:type="dxa"/>
          <w:bottom w:w="28" w:type="dxa"/>
          <w:right w:w="28" w:type="dxa"/>
        </w:tblCellMar>
      </w:tblPr>
      <w:tblGrid>
        <w:gridCol w:w="809"/>
        <w:gridCol w:w="711"/>
        <w:gridCol w:w="714"/>
        <w:gridCol w:w="1094"/>
        <w:gridCol w:w="1094"/>
        <w:gridCol w:w="1547"/>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u w:val="single"/>
              </w:rPr>
            </w:pPr>
            <w:r>
              <w:rPr>
                <w:rFonts w:ascii="Times New Roman;serif" w:hAnsi="Times New Roman;serif"/>
                <w:b/>
                <w:color w:val="000000"/>
                <w:sz w:val="20"/>
                <w:u w:val="single"/>
              </w:rPr>
              <w:t>Useful life</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Shorter of remaining useful life or lease term</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Vehicles</w:t>
            </w:r>
          </w:p>
        </w:tc>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infrastructure</w:t>
            </w:r>
          </w:p>
        </w:tc>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and hardware</w:t>
            </w:r>
          </w:p>
        </w:tc>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3 - 5 years</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3 - 5 years</w:t>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reviews its long-lived assets, including property and equipment and operating lease right-of-use assets, for impairment whenever events or changes in circumstances indicate the carrying amount of an asset may not be recoverable. Recoverability of assets held and used is measured by comparison of the carrying amount of an asset to the future undiscounted cash flows expected to be generated from the use of the asset and its eventual disposition. If such assets are considered to be impaired, the impairment to be recognized is measured by the amount by which the carrying amount exceeds the fair value of the impaired assets. Assets to be disposed of are reported at the lower of their carrying amount or fair value less cost to sell. The company did not record any impairment of long-lived assets as of and for the years ended December 31, 2025,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474345"/>
                <wp:effectExtent l="0" t="0" r="0" b="0"/>
                <wp:wrapNone/>
                <wp:docPr id="86" name="Frame82"/>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determines if an arrangement is or contains a lease at inception by assessing whether it conveys the right to control the use of an identified asset for a period of time in exchange for consideration. If a lease is identified, classification is determined at lease commencement. To date, all of the Company’s leases have been determined to be operating leases. Operating lease liabilities are recognized at the present value of the future lease payments over the expected remaining lease term at the lease commencement date. As the implicit rate in the Company’s lease is generally not readily determinable, the Company estimates its incremental borrowing rate to discount lease payments. The incremental borrowing rate reflects the interest rate that the Company would have to pay to borrow on a collateralized basis an amount equal to the lease payments in a similar economic environment over a similar term. Operating lease right-of-use (“ROU”) assets are based on the corresponding lease liability adjusted for any lease payments made at or before commencement, initial direct costs, and lease incentives. Certain leases also include options to renew or terminate the lease at the election of the Company. The Company evaluates these options at lease inception and on an ongoing basis. Renewal and termination options that the Company is reasonably certain to exercise are included when classifying leases and measuring lease liabilities and ROU assets. Operating lease expense is recognized on a straight-line basis over the lease term.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has lease agreements with lease and non-lease components, which the Company has elected to account for as a single lease component. The Company has elected to not record leases on the consolidated balance sheets that, at the lease commencement date, have a lease term of 12 months or less.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Warrants and Earn Out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classifies contracts in its own equity that do not meet the indexation guidance as liabilities. As of the end of each reporting period, such liability classified instruments are remeasured, with changes in fair value during the reporting period recognized within the consolidated statements of operations and comprehensive loss until the earlier of exercise, settlement, or expiration. The Company classifies contracts in equity that meet the indexation and equity classification guidance as a component of stockholders' deficit and such instruments are not subject to fair value remeasurements.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publicly traded common stock warrants, privately placed common stock warrants, and warrants assumed from Legacy Kodiak's redeemable convertible preferred stock in connection with the Merger, Kodiak Earn Out Securities and Sponsor Earn Out Securities (each as defined in Note 3) are equity-classified instruments indexed to the Company’s own equity. The Company’s PIPE Warrants and NRA Warrants (each as defined in Note 3) are liability-classified instruments not indexed to the Company’s own equity. Certain Legacy Kodiak warrants to purchase redeemable convertible preferred stock were also liability classified instruments prior to being exercised and settled in connection with the reverse recapitalization.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Second Lien Loans</w:t>
      </w:r>
    </w:p>
    <w:p>
      <w:pPr>
        <w:pStyle w:val="TextBody"/>
        <w:bidi w:val="0"/>
        <w:spacing w:lineRule="auto" w:line="288" w:before="0" w:after="240"/>
        <w:jc w:val="left"/>
        <w:rPr/>
      </w:pPr>
      <w:r>
        <w:rPr>
          <w:rFonts w:ascii="Times New Roman;serif" w:hAnsi="Times New Roman;serif"/>
          <w:b w:val="false"/>
          <w:color w:val="000000"/>
          <w:sz w:val="20"/>
        </w:rPr>
        <w:t xml:space="preserve">The Company elected the fair value option to account for its second lien loans, which were recorded at their estimated fair value at issuance and as of the end of each subsequent reporting period. Changes in estimated fair value were recognized as a component of </w:t>
      </w:r>
      <w:r>
        <w:rPr>
          <w:rFonts w:ascii="Times New Roman;serif" w:hAnsi="Times New Roman;serif"/>
          <w:b w:val="false"/>
          <w:i/>
          <w:color w:val="000000"/>
          <w:sz w:val="20"/>
        </w:rPr>
        <w:t>other (expenses) income</w:t>
      </w:r>
      <w:r>
        <w:rPr>
          <w:color w:val="000000"/>
        </w:rPr>
        <w:t xml:space="preserve"> </w:t>
      </w:r>
      <w:r>
        <w:rPr>
          <w:rFonts w:ascii="Times New Roman;serif" w:hAnsi="Times New Roman;serif"/>
          <w:b w:val="false"/>
          <w:color w:val="000000"/>
          <w:sz w:val="20"/>
        </w:rPr>
        <w:t xml:space="preserve">in the Company’s consolidated statements of operations and comprehensive loss until either their settlement in connection with the reverse recapitalization, or the end of the reporting period for any loans that remain outstanding.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Simple Agreements for Future Equity</w:t>
      </w:r>
    </w:p>
    <w:p>
      <w:pPr>
        <w:pStyle w:val="TextBody"/>
        <w:bidi w:val="0"/>
        <w:spacing w:lineRule="auto" w:line="288" w:before="0" w:after="240"/>
        <w:jc w:val="left"/>
        <w:rPr/>
      </w:pPr>
      <w:r>
        <w:rPr>
          <w:rFonts w:ascii="Times New Roman;serif" w:hAnsi="Times New Roman;serif"/>
          <w:b w:val="false"/>
          <w:color w:val="000000"/>
          <w:sz w:val="20"/>
        </w:rPr>
        <w:t xml:space="preserve">The Company accounted for the contractual obligation under its SAFEs to issue a variable number of shares as a liability stated at fair value based on the expected value of shares to be issued in the future to settle the obligation with changes in fair value recognized as a component of </w:t>
      </w:r>
      <w:r>
        <w:rPr>
          <w:rFonts w:ascii="Times New Roman;serif" w:hAnsi="Times New Roman;serif"/>
          <w:b w:val="false"/>
          <w:i/>
          <w:color w:val="000000"/>
          <w:sz w:val="20"/>
        </w:rPr>
        <w:t>other (expenses) income</w:t>
      </w:r>
      <w:r>
        <w:rPr>
          <w:color w:val="000000"/>
        </w:rPr>
        <w:t xml:space="preserve"> </w:t>
      </w:r>
      <w:r>
        <w:rPr>
          <w:rFonts w:ascii="Times New Roman;serif" w:hAnsi="Times New Roman;serif"/>
          <w:b w:val="false"/>
          <w:color w:val="000000"/>
          <w:sz w:val="20"/>
        </w:rPr>
        <w:t>in the Company’s consolidated statements of operations and comprehensive loss until settlement in connection with the reverse recapitalization.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Redeemable Convertible Preferred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classifies its redeemable convertible preferred stock as temporary or mezzanine equity because events triggering liquidation are not solely within the control of the Company. For preferred stock that is probable of becoming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474345"/>
                <wp:effectExtent l="0" t="0" r="0" b="0"/>
                <wp:wrapNone/>
                <wp:docPr id="87" name="Frame83"/>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redeemable, the Company has elected to recognize changes in redemption value as they occur and adjust the carrying amount of the instrument to equal the redemption value at the end of each reporting period to the extent the redemption value exceeds the initial carrying amount.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generates revenues from: (i) providing DaaS to customers; (ii) delivering freight via Kodiak-owned autonomous trucks powered by the Kodiak Driver; and (iii) providing ground autonomy solutions to the U.S. military The Company recognizes revenue when customers obtain control of promised goods or services in an amount that reflects the consideration the Company expects to receive for those goods or services. The Company applies the following five-step revenue recognition model in accounting for its revenue arrangements:</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identification of a contract with a customer;</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identification of the performance obligations in the contract;</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determination of the transaction price;</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allocation of the transaction price to the performance obligations in the contract; and</w:t>
      </w:r>
    </w:p>
    <w:p>
      <w:pPr>
        <w:pStyle w:val="TextBody"/>
        <w:bidi w:val="0"/>
        <w:spacing w:lineRule="auto" w:line="288" w:before="0" w:after="240"/>
        <w:ind w:left="0" w:right="0" w:hanging="450"/>
        <w:jc w:val="left"/>
        <w:rPr/>
      </w:pPr>
      <w:r>
        <w:rPr>
          <w:color w:val="000000"/>
        </w:rPr>
        <w:t>•</w:t>
      </w:r>
      <w:r>
        <w:rPr>
          <w:rFonts w:ascii="Times New Roman;serif" w:hAnsi="Times New Roman;serif"/>
          <w:b w:val="false"/>
          <w:color w:val="000000"/>
          <w:sz w:val="20"/>
        </w:rPr>
        <w:t>recognition of revenue when or as the performance obligations are satisfied.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DaaS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Beginning in December 2024, the Company began recognizing revenue on a per-vehicle fee under its DaaS business model.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Under its DaaS model, the Company supplies self-driving technology consisting of a highly integrated bundle of goods and services that represents a single combined output for which the customer has contracted. This single combined output is made up of both hardware and software, together with ongoing support services, including regular software updates, systems integrations and operational support, including remote monitoring and on-site support. These promises are accounted for as if they were a single performance obligation, as they are delivered to the customer concurrently over the same period of time. Revenue for DaaS arrangements is recognized over time on a ratable basis over the contract term, which is expected to be for a duration of three to four years. Fees are generally billed monthly and are typically on 30-day payment terms.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Freight Delivery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freight delivery revenues are generated from providing freight transportation services to customers in the commercial sector utilizing Company-owned autonomous trucks powered by the Kodiak Driver. The Company generates revenues based on number of paid miles and rate-per-mile fees primarily determined by local market dynamics, which fees are generally billed upon delivery and are typically on 30-day payment terms.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Customer contracts have a single performance obligation to transport commercial freight to an agreed upon destination. This performance obligation is satisfied over time as freight delivery is performed, which typically occurs within one day.</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Ground Autonomy Solutions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provides ground autonomy solutions to a single customer in defense. Services under these contracts relate to the demonstration of specific capabilities of autonomous driving solutions for military vehicles. Each contract is separately agreed with no interdependencies with respect to pricing, promises or objectives and accounted for as separate arrangements. Each contract has a specified deliverable(s) that represents a single (or combined) performance obligation with the transfer of the significant risks and rewards of ownership occurring upon acceptance of the final deliverable(s) within each contract. The contracts have fixed fees that are invoiced on an agreed upon billing schedule on payment terms in accordance with the Prompt Payment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474345"/>
                <wp:effectExtent l="0" t="0" r="0" b="0"/>
                <wp:wrapNone/>
                <wp:docPr id="88" name="Frame84"/>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Control is transferred at a point in time and revenue is recognized upon completion and customer acceptance of each contract’s deliverable(s).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Contract Assets and Contract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contract asset represents amounts that are unbilled due to agreed-upon contractual terms in which billing occurs subsequent to revenue recognition.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contract liability represents amounts that have been invoiced to the customer for which the Company has the right to invoice (and for which payment was received) but has not been recognized as revenues because the related products or services have not been transferred to the customer. Such amounts are recognized in revenues as performance obligations are met.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Practical Expedients and Policy Elections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Significant financing component: The promised amount of consideration is not adjusted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Taxes collected on behalf of the customers: The Company excludes from the measurement of the transaction price all taxes assessed by governmental authorities when these taxes are both imposed on and concurrent with a specific revenue-producing transaction and collected by the Company from a customer.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Disclosure of remaining performance obligations: The Company does not disclose remaining performance obligations for contracts that have an original expected duration of one year or less.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 are expensed as incurred, and consist primarily of personnel costs, hardware and electrical engineering prototyping, cloud computing and storage, third-party software licenses (including simulation), data labeling, and third-party design services.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costs consist primarily of personnel costs, facilities rent, insurance, professional services (including external accounting and legal advisors), and other general and administrative costs.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Truck and Freight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Truck and freight operations costs consist primarily of personnel costs, truck-related operational costs and DaaS operational infrastructure costs, including remote and on-site support and the depreciation of deployed Kodiak Driver hardware.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Sales and marketing costs consist primarily of personnel costs and sales-related, branding and public relations activities. Advertising costs were $0.2 million, $0.4 million and $0.6 million for the years ended December 31, 2025, 2024, and 2023, respectively.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Software Development Costs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Development costs incurred in the research and development of new software products are expensed as incurred until technological feasibility of the product has been established. Software development costs incurred after technological feasibility has been established are capitalized up to the time the product is available for general release to customers. For the years ended December 31, 2025, 2024, and 2023, no amounts were capitalized.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474345"/>
                <wp:effectExtent l="0" t="0" r="0" b="0"/>
                <wp:wrapNone/>
                <wp:docPr id="89" name="Frame85"/>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stock-based compensation relates to stock-based awards granted to employees and other service providers pursuant to its equity incentive plans. The Company recognizes the cost of stock-based awards based on the estimated grant-date fair value of the awards. Forfeitures are accounted for as they occur. For stock-based awards with service-only vesting conditions (including stock options and restricted stock units (“RSUs”)), expense is recognized on a straight-line basis over the requisite service period, which is generally the vesting period of the award of approximately four years. RSUs are measured based on the fair value of the Company's publicly traded common stock. Stock options with service-only vesting conditions are measured by estimating their grant-date fair value using the Black-Scholes option-pricing model, which utilizes inputs and assumptions that involve certain subjective judgment, including: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Fair Value of Common Stock</w:t>
      </w:r>
      <w:r>
        <w:rPr>
          <w:color w:val="000000"/>
        </w:rPr>
        <w:t xml:space="preserve"> – </w:t>
      </w:r>
      <w:r>
        <w:rPr>
          <w:rFonts w:ascii="Times New Roman;serif" w:hAnsi="Times New Roman;serif"/>
          <w:b w:val="false"/>
          <w:color w:val="000000"/>
          <w:sz w:val="20"/>
        </w:rPr>
        <w:t>Prior to the Merger, there had been no public market for the Company’s common stock. Therefore, management and/or the board of directors had historically determined the fair market value of the Company’s common stock at the time of grant by considering a number of objective and subjective factors, including valuations of comparable companies, sales of redeemable convertible preferred stock to unrelated third parties, operating and financial performance, lack of liquidity of capital stock and general and industry-specific economic outlook, among other factors.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Expected Term</w:t>
      </w:r>
      <w:r>
        <w:rPr>
          <w:color w:val="000000"/>
        </w:rPr>
        <w:t xml:space="preserve"> – </w:t>
      </w:r>
      <w:r>
        <w:rPr>
          <w:rFonts w:ascii="Times New Roman;serif" w:hAnsi="Times New Roman;serif"/>
          <w:b w:val="false"/>
          <w:color w:val="000000"/>
          <w:sz w:val="20"/>
        </w:rPr>
        <w:t>The expected term represents the period that the Company’s stock-based awards are expected to be outstanding and is determined using the simplified method. The simplified method calculates the expected term as the average of the time-to-vesting and the contractual life of the award.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Expected Volatility</w:t>
      </w:r>
      <w:r>
        <w:rPr>
          <w:color w:val="000000"/>
        </w:rPr>
        <w:t xml:space="preserve"> – </w:t>
      </w:r>
      <w:r>
        <w:rPr>
          <w:rFonts w:ascii="Times New Roman;serif" w:hAnsi="Times New Roman;serif"/>
          <w:b w:val="false"/>
          <w:color w:val="000000"/>
          <w:sz w:val="20"/>
        </w:rPr>
        <w:t>As there is limited trading history for the Company's common stock, expected volatility is determined based on the average volatility of comparable publicly traded companies over a period equal to the expected term assumption. Comparable companies are chosen based on their similar size, stage in the life cycle or industry.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Risk-Free Interest Rate</w:t>
      </w:r>
      <w:r>
        <w:rPr>
          <w:color w:val="000000"/>
        </w:rPr>
        <w:t xml:space="preserve"> – </w:t>
      </w:r>
      <w:r>
        <w:rPr>
          <w:rFonts w:ascii="Times New Roman;serif" w:hAnsi="Times New Roman;serif"/>
          <w:b w:val="false"/>
          <w:color w:val="000000"/>
          <w:sz w:val="20"/>
        </w:rPr>
        <w:t>The risk-free interest rate is based on the U.S. Treasury yield curve in effect at the time of grant of the award for time periods approximately equal to the expected term of award.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Expected Dividend</w:t>
      </w:r>
      <w:r>
        <w:rPr>
          <w:color w:val="000000"/>
        </w:rPr>
        <w:t xml:space="preserve"> – </w:t>
      </w:r>
      <w:r>
        <w:rPr>
          <w:rFonts w:ascii="Times New Roman;serif" w:hAnsi="Times New Roman;serif"/>
          <w:b w:val="false"/>
          <w:color w:val="000000"/>
          <w:sz w:val="20"/>
        </w:rPr>
        <w:t>The expected dividend yield assumption is zero as the Company has never paid and has no plans to pay dividends on the Company’s common stock in the foreseeable future.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accounts for income taxes under the asset and liability method, whereby deferred tax assets and liabilities are determined based on the difference between the carrying values of assets and liabilities for financial reporting purposes and income tax bases of assets and liabilities using enacted tax rates in effect for the year in which the differences are expected to reverse. A valuation allowance is provided when necessary to reduce net tax assets to an amount that is more likely than not to be realized. The Company recognizes the benefits of tax-return positions in the financial statements when they are “more likely than not” to be sustained by the taxing authority, based on the technical merits at the reporting date. The Company considers many factors when evaluating and estimating its tax positions and tax benefits, which may require periodic adjustments, and which may not accurately forecast actual outcomes. The Company recognizes interest and penalties related to unrecognized tax benefits, if any, as a component of income taxes.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Basic and Diluted Net Loss Per Common Share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Basic and diluted net loss per common share is calculated by dividing net loss for the period by the weighted-average number of shares of common stock outstanding during the period. Contingently issuable shares, including shares that are issuable for little or no cash consideration, are considered outstanding common shares and included in the calculation of basic and diluted net loss per share, even if they are antidilutive. Such shares include common stock warrants with a nominal exercise price.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Diluted net loss per share is computed by giving effect to all potentially dilutive securities outstanding for the period using the treasury stock method or the if-converted method based on the nature of such securities. As the Company reported a net loss for the periods presented, diluted net loss per common share was the same as basic net loss per common share because the effects of potentially dilutive common stock equivalents were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474345"/>
                <wp:effectExtent l="0" t="0" r="0" b="0"/>
                <wp:wrapNone/>
                <wp:docPr id="90" name="Frame86"/>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Comprehensive Loss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Comprehensive loss represents the change in the Company’s stockholders’ deficit from all sources other than investments by or distributions to stockholders. The Company’s comprehensive loss is comprised of net loss and changes in unrealized gains or losses on marketable securities.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Emerging Growth Company Status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is an emerging growth company, as defined in the Jumpstart Our Business Startups Act of 2012 (the “JOBS” Act). Under the JOBS Act, emerging growth companies can delay adopting new or revised accounting standards using private company timelines.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Recently Adopted Accounting Standards</w:t>
      </w:r>
    </w:p>
    <w:p>
      <w:pPr>
        <w:pStyle w:val="TextBody"/>
        <w:bidi w:val="0"/>
        <w:spacing w:lineRule="auto" w:line="288" w:before="0" w:after="240"/>
        <w:jc w:val="left"/>
        <w:rPr/>
      </w:pPr>
      <w:r>
        <w:rPr>
          <w:rFonts w:ascii="Times New Roman;serif" w:hAnsi="Times New Roman;serif"/>
          <w:b w:val="false"/>
          <w:color w:val="000000"/>
          <w:sz w:val="20"/>
        </w:rPr>
        <w:t>In December 2023, the FASB issued ASU No. 2023-09, </w:t>
      </w:r>
      <w:r>
        <w:rPr>
          <w:rFonts w:ascii="Times New Roman;serif" w:hAnsi="Times New Roman;serif"/>
          <w:b w:val="false"/>
          <w:i/>
          <w:color w:val="000000"/>
          <w:sz w:val="20"/>
        </w:rPr>
        <w:t xml:space="preserve">Improvements to Income Tax Disclosures </w:t>
      </w:r>
      <w:r>
        <w:rPr>
          <w:rFonts w:ascii="Times New Roman;serif" w:hAnsi="Times New Roman;serif"/>
          <w:b w:val="false"/>
          <w:color w:val="000000"/>
          <w:sz w:val="20"/>
        </w:rPr>
        <w:t xml:space="preserve">(“ASU 2023-09”), which requires entities to make incremental income tax disclosures on an annual basis. The amendments require that public business entities disclose specific categories in the rate reconciliation and provide additional information for reconciling items meeting a quantitative threshold. The amendments also require disclosure of income taxes paid to be disaggregated by jurisdiction, and the disclosure of income tax expense disaggregated by federal, state, and foreign. The Company adopted ASU 2023-09 on January 1, 2025, on a prospective basis (see Note 16). The adoption did not have a material impact on the consolidated financial statements and related disclosures. </w:t>
      </w:r>
    </w:p>
    <w:p>
      <w:pPr>
        <w:pStyle w:val="TextBody"/>
        <w:bidi w:val="0"/>
        <w:spacing w:lineRule="auto" w:line="288" w:before="0" w:after="240"/>
        <w:jc w:val="left"/>
        <w:rPr/>
      </w:pPr>
      <w:r>
        <w:rPr>
          <w:rFonts w:ascii="Times New Roman;serif" w:hAnsi="Times New Roman;serif"/>
          <w:b w:val="false"/>
          <w:color w:val="000000"/>
          <w:sz w:val="20"/>
        </w:rPr>
        <w:t xml:space="preserve">In May 2025, the FASB issued ASU No. 2025-03,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 xml:space="preserve">(Topic 805) and </w:t>
      </w:r>
      <w:r>
        <w:rPr>
          <w:rFonts w:ascii="Times New Roman;serif" w:hAnsi="Times New Roman;serif"/>
          <w:b w:val="false"/>
          <w:i/>
          <w:color w:val="000000"/>
          <w:sz w:val="20"/>
        </w:rPr>
        <w:t>Consolidation</w:t>
      </w:r>
      <w:r>
        <w:rPr>
          <w:color w:val="000000"/>
        </w:rPr>
        <w:t xml:space="preserve"> </w:t>
      </w:r>
      <w:r>
        <w:rPr>
          <w:rFonts w:ascii="Times New Roman;serif" w:hAnsi="Times New Roman;serif"/>
          <w:b w:val="false"/>
          <w:color w:val="000000"/>
          <w:sz w:val="20"/>
        </w:rPr>
        <w:t>(Topic 810)—</w:t>
      </w:r>
      <w:r>
        <w:rPr>
          <w:rFonts w:ascii="Times New Roman;serif" w:hAnsi="Times New Roman;serif"/>
          <w:b w:val="false"/>
          <w:i/>
          <w:color w:val="000000"/>
          <w:sz w:val="20"/>
        </w:rPr>
        <w:t>Determining the Accounting Acquirer in the Acquisition of a Variable Interest Entity</w:t>
      </w:r>
      <w:r>
        <w:rPr>
          <w:color w:val="000000"/>
        </w:rPr>
        <w:t xml:space="preserve"> </w:t>
      </w:r>
      <w:r>
        <w:rPr>
          <w:rFonts w:ascii="Times New Roman;serif" w:hAnsi="Times New Roman;serif"/>
          <w:b w:val="false"/>
          <w:color w:val="000000"/>
          <w:sz w:val="20"/>
        </w:rPr>
        <w:t xml:space="preserve">(“ASU 2025-03”), which revises current guidance for determining the accounting acquirer for a transaction effected primarily by exchanging equity interests in which the legal acquiree is a variable interest entity that meets the definition of a business. The amendments require that an entity consider the same factors that are currently required for determining which entity is the accounting acquirer in other acquisition transactions. The Company early adopted ASU 2025-03 on April 1, 2025 on a prospective basis. Legacy Kodiak was determined to be the accounting acquirer (legal acquiree), and AACT was determined to be the accounting acquiree (legal acquirer).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Recently Issued Accounting Standards</w:t>
      </w:r>
    </w:p>
    <w:p>
      <w:pPr>
        <w:pStyle w:val="TextBody"/>
        <w:bidi w:val="0"/>
        <w:spacing w:lineRule="auto" w:line="288" w:before="0" w:after="240"/>
        <w:jc w:val="left"/>
        <w:rPr/>
      </w:pPr>
      <w:r>
        <w:rPr>
          <w:rFonts w:ascii="Times New Roman;serif" w:hAnsi="Times New Roman;serif"/>
          <w:b w:val="false"/>
          <w:color w:val="000000"/>
          <w:sz w:val="20"/>
        </w:rPr>
        <w:t>In November 2024, the FASB issued ASU No. 2024-03,</w:t>
      </w:r>
      <w:r>
        <w:rPr>
          <w:color w:val="000000"/>
        </w:rPr>
        <w:t> </w:t>
      </w:r>
      <w:r>
        <w:rPr>
          <w:rFonts w:ascii="Times New Roman;serif" w:hAnsi="Times New Roman;serif"/>
          <w:b w:val="false"/>
          <w:i/>
          <w:color w:val="000000"/>
          <w:sz w:val="20"/>
        </w:rPr>
        <w:t>Income Statement—Reporting Comprehensive Income (Topic 220): Expense Disaggregation Disclosures</w:t>
      </w:r>
      <w:r>
        <w:rPr>
          <w:color w:val="000000"/>
        </w:rPr>
        <w:t> </w:t>
      </w:r>
      <w:r>
        <w:rPr>
          <w:rFonts w:ascii="Times New Roman;serif" w:hAnsi="Times New Roman;serif"/>
          <w:b w:val="false"/>
          <w:color w:val="000000"/>
          <w:sz w:val="20"/>
        </w:rPr>
        <w:t>(“ASU 2024-03”), which requires entities to provide disaggregated disclosures of certain expense captions presented on the face of the income statement into specific categories within the footnotes to the financial statements to provide enhanced transparency into the nature and function of expenses. ASU 2024-03 is effective for the Company’s annual reporting periods beginning after December 15, 2026, and interim periods within years beginning after December 15, 2027, with early adoption permitted. ASU 2024-03 may be applied retrospectively or prospectively. The Company is evaluating adoption timing and the impact ASU 2024-03 will have on its financial statements and related disclosures.</w:t>
      </w:r>
    </w:p>
    <w:p>
      <w:pPr>
        <w:pStyle w:val="TextBody"/>
        <w:bidi w:val="0"/>
        <w:spacing w:lineRule="auto" w:line="288" w:before="0" w:after="240"/>
        <w:jc w:val="left"/>
        <w:rPr/>
      </w:pPr>
      <w:r>
        <w:rPr>
          <w:rFonts w:ascii="Times New Roman;serif" w:hAnsi="Times New Roman;serif"/>
          <w:b w:val="false"/>
          <w:color w:val="000000"/>
          <w:sz w:val="20"/>
        </w:rPr>
        <w:t xml:space="preserve">In December 2025, the FASB issued ASU No. 2025-12, </w:t>
      </w:r>
      <w:r>
        <w:rPr>
          <w:rFonts w:ascii="Times New Roman;serif" w:hAnsi="Times New Roman;serif"/>
          <w:b w:val="false"/>
          <w:i/>
          <w:color w:val="000000"/>
          <w:sz w:val="20"/>
        </w:rPr>
        <w:t>Codification Improvements</w:t>
      </w:r>
      <w:r>
        <w:rPr>
          <w:color w:val="000000"/>
        </w:rPr>
        <w:t xml:space="preserve"> </w:t>
      </w:r>
      <w:r>
        <w:rPr>
          <w:rFonts w:ascii="Times New Roman;serif" w:hAnsi="Times New Roman;serif"/>
          <w:b w:val="false"/>
          <w:color w:val="000000"/>
          <w:sz w:val="20"/>
        </w:rPr>
        <w:t>(“ASU 2025-12”), which addresses a broad range of topics to clarify, correct errors, and make minor improvements to the Codification, including a clarification that potential common shares must be included in the diluted earnings per share computation if the combined effect of numerator and denominator adjustments is dilutive, even if a loss from continuing operations exists. ASU 2025-12 is effective for the Company’s annual reporting periods beginning after December 15, 2026, and interim reporting periods within those annual periods, with early adoption permitted on an issue-by-issue basis. While the amendments for earnings per share must be applied retrospectively, other improvements may be applied either prospectively or retrospectively. The Company is evaluating the adoption timing and the impact ASU 2025-12 will have on its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474345"/>
                <wp:effectExtent l="0" t="0" r="0" b="0"/>
                <wp:wrapNone/>
                <wp:docPr id="91" name="Frame87"/>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3. Reverse Recapitalization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Merger, issued and outstanding shares of Legacy Kodiak common stock (including converted redeemable convertible preferred stock), and warrants and options to purchase Legacy Kodiak common stock were converted into rights to receive shares, warrants, or options of Kodiak at the per share merger consideration of approximately 0.66 (the “Exchange Ratio”) based on the following events contemplated by the BCA and in connection with the Closing:</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i.Certain warrants to purchase shares of Legacy Kodiak redeemable convertible preferred stock were net exercised in exchange for shares of Legacy Kodiak redeemable convertible preferred stock;</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ii.Legacy Kodiak redeemable convertible preferred stock, including shares resulting from the net exercise of the preferred stock warrants described above, were converted into shares of Legacy Kodiak common stock at a one-for-one conversion rate;</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iii.All outstanding SAFEs were converted into shares of Legacy Kodiak common stock;</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iv.All second lien loans outstanding at the Closing, excluding the $10.0 million SAFE from an affiliate of AACT that was exchanged for a second lien loan, were converted into shares of Legacy Kodiak common stock;</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v.Warrants to purchase shares of Legacy Kodiak common stock were vested in full and net exercised in exchange for shares of Legacy Kodiak common stock;</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vi.Legacy Kodiak common stock, including the shares issued as a result of the events described in items ii. through v. above, were converted into shares of Kodiak common stock;</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vii.Outstanding options to purchase shares of Legacy Kodiak common stock were exchanged for options to purchase shares of Kodiak common stock; and</w:t>
      </w:r>
    </w:p>
    <w:p>
      <w:pPr>
        <w:pStyle w:val="TextBody"/>
        <w:bidi w:val="0"/>
        <w:spacing w:lineRule="auto" w:line="288" w:before="0" w:after="24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viii.Warrants to purchase shares of Legacy Kodiak preferred stock, not net exercised, were assumed by Kodiak and converted into the warrants to purchase shares of Kodiak common stock (the “Assumed Kodiak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Upon the consummation of the Merger, the 5,492,904 publicly held shares of AACT Class A ordinary shares were converted into shares of Kodiak common stock. In connection with the Merger, the Company received proceeds of $171.2 million, consisting of $145.0 million from certain investors (see below) and $26.2 million of cash held in AACT’s trust account after giving effect to redemptions. Legacy Kodiak incurred $32.0 million in transaction costs consisting of banking, legal, and other professional fees, of which $3.2 million was immediately expensed, $6.0 million was recorded as a reduction to the Series A cumulative redeemable convertible preferred stock, and $22.8 million was recorded as reduction to common stock additional paid-in capital.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Merger was accounted for as a reverse recapitalization. Under this method of accounting, AACT was treated as the acquired company and the Merger was treated as the equivalent of Legacy Kodiak issuing shares for the net assets of AACT, accompanied by a recapitalization. The accounting acquirer was primarily determined based on Legacy Kodiak stockholders having the largest voting interest in Kodiak and the ability to appoint the majority of the members of the board of directors as well as Legacy Kodiak management holding executive management roles in Kodiak and being responsible for the day-to-day operations which are comprised of Legacy Kodiak activities.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net assets of AACT were recognized at historical cost as of the Closing, with no goodwill or other intangible assets recorded. Operations prior to the merger presented are those of Legacy Kodiak and the accumulated deficit of Legacy Kodiak has been carried forward after the Closing.</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Series A Preferred Investment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15, 2025, in connection with a financing transaction related to the Merger, AACT entered into subscription agreements with certain institutional and accredited investors (collectively, the “Preferred Investors”) for an aggregate purchase price of $145.0 million. At the Closing, the Preferred Investors purchased shares of the Company’s Series A cumulative redeemable convertible preferred stock, par value $0.0001 per share (the “Series A Preferred Stock”), with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474345"/>
                <wp:effectExtent l="0" t="0" r="0" b="0"/>
                <wp:wrapNone/>
                <wp:docPr id="92" name="Frame88"/>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stated value of $1,200 per share (the “Stated Value”). Additionally, the Preferred Investors received warrants to purchase 125% of the shares of the Company’s common stock issuable upon conversion of the Series A Preferred Stock as of the Closing Date, at an exercise price of $12.00 per share (the “PIPE Warrants”). At the Closing, the Company issued an aggregate of 142,155 shares of the Series A Preferred Stock and an aggregate of 17,769,375 PIPE Warrants to purchase shares of its common stock to the Preferred Investors, for total gross proceeds of $145.0 million (see Note 12).</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Non-Redemption Agreements</w:t>
      </w:r>
    </w:p>
    <w:p>
      <w:pPr>
        <w:pStyle w:val="TextBody"/>
        <w:bidi w:val="0"/>
        <w:spacing w:lineRule="auto" w:line="288" w:before="0" w:after="240"/>
        <w:jc w:val="left"/>
        <w:rPr/>
      </w:pPr>
      <w:r>
        <w:rPr>
          <w:rFonts w:ascii="Times New Roman;serif" w:hAnsi="Times New Roman;serif"/>
          <w:b w:val="false"/>
          <w:color w:val="000000"/>
          <w:sz w:val="20"/>
        </w:rPr>
        <w:t xml:space="preserve">On September 22, 2025, AACT and Legacy Kodiak entered into non-redemption agreements (the “NRA”) with certain unaffiliated third-party holders of AACT Class A ordinary shares (the “Non-Redemption Investors”). The Non-Redemption Investors agreed not to redeem, or to rescind their redemption requests for, an aggregate of 3,319,712 AACT Class A ordinary shares. The Company agreed to issue to the Non-Redemption Investors, for no additional consideration, either (i) warrants to purchase shares of Kodiak common stock at an exercise price of $12.00 per share (the “NRA Warrants”) or (ii) shares of Kodiak common stock (the “NRA Shares”). At the Closing, the Company issued NRA Warrants to purchase 7,606,666 shares of its common stock (see Note 11) and 368,028 NRA Shares. As the NRA Shares and NRA Warrants represented a nonreciprocal transfer of value to certain AACT equity holders, their fair values — $3.2 million for the NRA Shares and $37.0 million for NRA Warrants — were expensed and recorded under </w:t>
      </w:r>
      <w:r>
        <w:rPr>
          <w:rFonts w:ascii="Times New Roman;serif" w:hAnsi="Times New Roman;serif"/>
          <w:b w:val="false"/>
          <w:i/>
          <w:color w:val="000000"/>
          <w:sz w:val="20"/>
        </w:rPr>
        <w:t>loss on issuance of equity instruments</w:t>
      </w:r>
      <w:r>
        <w:rPr>
          <w:color w:val="000000"/>
        </w:rPr>
        <w:t xml:space="preserve"> </w:t>
      </w:r>
      <w:r>
        <w:rPr>
          <w:rFonts w:ascii="Times New Roman;serif" w:hAnsi="Times New Roman;serif"/>
          <w:b w:val="false"/>
          <w:color w:val="000000"/>
          <w:sz w:val="20"/>
        </w:rPr>
        <w:t>in the consolidated statements of operations and comprehensive loss for the year ended December 31, 2025.</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Public Warrants and Private Placement Warrants</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Each of the then issued and outstanding 24,999,987 redeemable warrants of AACT automatically converted at the Closing into a redeemable warrant to purchase one share of Kodiak common stock (the “Public Warrants”). Additionally, each of the then issued and outstanding 14,300,000 private placement warrants of AACT automatically converted at the Closing into a warrant to purchase one share of Kodiak common stock (the “Private Placement Warrants”) (see Note 13).</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Sponsor Earn Out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Closing, 12,500,000 Class A ordinary shares of AACT held by Ares Acquisition Holdings II LP (the “AACT Sponsor”), were converted into 12,500,000 shares of Kodiak common stock. Of these, 6,250,000 shares vested and became outstanding upon the Closing, while the remaining 6,250,000 shares (the “Sponsor Earn Out Securities”) are subject to vesting conditions.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Sponsor Earn Out Securities will vest upon the achievement of a volume-weighted average closing price of Kodiak common stock equal to or greater than $18.00 per share, subject to adjustments as set forth in the BCA (the “Triggering Event I Threshold”), for at least 20 trading days within any 30 consecutive trading-day period during the four-year period commencing September 24, 2025 (the “Earn Out Period”).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a change of control occurs during the Earn Out Period that results in the holders of Kodiak common stock receiving a per share price equal to or greater than the Triggering Event I Threshold, the Sponsor Earn Out Securities will immediately vest as of the consummation of such change of control. The Sponsor Earn Out Securities are equity-classified instruments because the triggering event is an exercise contingency and not a settlement condition such that they are indexed to the Company's own common stock.</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Advisor Shares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issued 1,091,519 shares of common stock (the “Legacy Kodiak Advisor Shares”) at the Closing to an advisor of Legacy Kodiak in a private placement in satisfaction of $12.5 million of fees payable to such advisor in respect of services provided in connection with the Merger.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474345"/>
                <wp:effectExtent l="0" t="0" r="0" b="0"/>
                <wp:wrapNone/>
                <wp:docPr id="93" name="Frame89"/>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number of shares of Kodiak common stock issued and outstanding following the consummation of the Merger was as follows (in thousands):</w:t>
      </w:r>
    </w:p>
    <w:tbl>
      <w:tblPr>
        <w:tblW w:w="7116" w:type="dxa"/>
        <w:jc w:val="center"/>
        <w:tblInd w:w="0" w:type="dxa"/>
        <w:tblLayout w:type="fixed"/>
        <w:tblCellMar>
          <w:top w:w="28" w:type="dxa"/>
          <w:left w:w="28" w:type="dxa"/>
          <w:bottom w:w="28" w:type="dxa"/>
          <w:right w:w="28" w:type="dxa"/>
        </w:tblCellMar>
      </w:tblPr>
      <w:tblGrid>
        <w:gridCol w:w="2066"/>
        <w:gridCol w:w="1809"/>
        <w:gridCol w:w="1825"/>
        <w:gridCol w:w="109"/>
        <w:gridCol w:w="109"/>
        <w:gridCol w:w="109"/>
        <w:gridCol w:w="411"/>
        <w:gridCol w:w="415"/>
        <w:gridCol w:w="263"/>
      </w:tblGrid>
      <w:tr>
        <w:trPr/>
        <w:tc>
          <w:tcPr>
            <w:tcW w:w="2066"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Shares</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AACT public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49,360 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redemptions of AACT public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(43,867)</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AACT public shares, net of redemptions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AACT Sponsor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shares of AACT common stock outstanding prior to the Merger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Legacy Kodiak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161,754 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NRA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Legacy Kodiak Advisor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Kodiak common stock outstanding subsequent to the Merger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174,957 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Earn Out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part of the Merger, immediately prior to the Closing, Legacy Kodiak security holders became eligible to receive, on a pro rata basis, 74,998,317 shares of Kodiak common stock and RSUs (collectively, the “Earn Out Securities”), which will be issued or vest, as applicable, upon achievement of specified stock-price-based milestones during the Earn Out Period, and, additionally in the case of the RSUs, upon satisfaction of service-based vesting conditions from the Closing to the date of each triggering event, as discussed below. The Earn Out Securities are divided into three equal tranches:</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i.24,999,439 Earn Out Securities that vest or are issued upon satisfaction of Triggering Event I (the volume weighted average closing sale price (“VWAP”) of Kodiak common stock equal to or greater than $18.00 per share for at least 20 out of 30 consecutive trading days, subject to adjustments provided in the BCA);</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ii.24,999,439 Earn Out Securities that vest or are issued upon satisfaction of Triggering Event II (VWAP ≥ $23.00 for at least 20 out of 30 consecutive trading days, subject to adjustments); and</w:t>
      </w:r>
    </w:p>
    <w:p>
      <w:pPr>
        <w:pStyle w:val="TextBody"/>
        <w:bidi w:val="0"/>
        <w:spacing w:lineRule="auto" w:line="288" w:before="0" w:after="24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iii.24,999,439 Earn Out Securities that vest or are issued upon satisfaction of Triggering Event III (VWAP ≥ $28.00 for at least 20 out of 30 consecutive trading days, subject to adjustments).</w:t>
      </w:r>
    </w:p>
    <w:p>
      <w:pPr>
        <w:pStyle w:val="TextBody"/>
        <w:bidi w:val="0"/>
        <w:spacing w:lineRule="auto" w:line="268" w:before="0" w:after="360"/>
        <w:jc w:val="left"/>
        <w:rPr>
          <w:rFonts w:ascii="Times New Roman;serif" w:hAnsi="Times New Roman;serif"/>
          <w:b w:val="false"/>
          <w:color w:val="000000"/>
          <w:sz w:val="20"/>
        </w:rPr>
      </w:pPr>
      <w:r>
        <w:rPr>
          <w:rFonts w:ascii="Times New Roman;serif" w:hAnsi="Times New Roman;serif"/>
          <w:b w:val="false"/>
          <w:color w:val="000000"/>
          <w:sz w:val="20"/>
        </w:rPr>
        <w:t>In the event of a change of control during the Earn-Out Period that results in a per-share price for Kodiak common stock equal to or in excess of a triggering event threshold, the corresponding Triggering Event will be deemed to have occurred and the related Earn Out Securities shall be issued or vest immediately prior to the consummation of the change of control. Once issued after the triggering event, which is an exercise contingency and not a settlement condition, the Earn Out Securities are equity-classified instruments because they are indexed to the Company's own common stock. As of December 31, 2025, the Company had not met any of the triggering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474345"/>
                <wp:effectExtent l="0" t="0" r="0" b="0"/>
                <wp:wrapNone/>
                <wp:docPr id="94" name="Frame90"/>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4. Cash Equivalents and Marketable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amortized cost and fair value of the Company’s cash equivalents and marketable securities by major category for the periods presented (in thousands):</w:t>
      </w:r>
    </w:p>
    <w:tbl>
      <w:tblPr>
        <w:tblW w:w="9693" w:type="dxa"/>
        <w:jc w:val="left"/>
        <w:tblInd w:w="0" w:type="dxa"/>
        <w:tblLayout w:type="fixed"/>
        <w:tblCellMar>
          <w:top w:w="28" w:type="dxa"/>
          <w:left w:w="28" w:type="dxa"/>
          <w:bottom w:w="28" w:type="dxa"/>
          <w:right w:w="28" w:type="dxa"/>
        </w:tblCellMar>
      </w:tblPr>
      <w:tblGrid>
        <w:gridCol w:w="837"/>
        <w:gridCol w:w="734"/>
        <w:gridCol w:w="739"/>
        <w:gridCol w:w="252"/>
        <w:gridCol w:w="862"/>
        <w:gridCol w:w="130"/>
        <w:gridCol w:w="109"/>
        <w:gridCol w:w="109"/>
        <w:gridCol w:w="109"/>
        <w:gridCol w:w="509"/>
        <w:gridCol w:w="981"/>
        <w:gridCol w:w="265"/>
        <w:gridCol w:w="109"/>
        <w:gridCol w:w="109"/>
        <w:gridCol w:w="109"/>
        <w:gridCol w:w="496"/>
        <w:gridCol w:w="955"/>
        <w:gridCol w:w="258"/>
        <w:gridCol w:w="109"/>
        <w:gridCol w:w="109"/>
        <w:gridCol w:w="109"/>
        <w:gridCol w:w="329"/>
        <w:gridCol w:w="1125"/>
        <w:gridCol w:w="240"/>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33,320 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69,886 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69,908 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69,886 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69,908 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334" w:type="dxa"/>
        <w:jc w:val="left"/>
        <w:tblInd w:w="0" w:type="dxa"/>
        <w:tblLayout w:type="fixed"/>
        <w:tblCellMar>
          <w:top w:w="28" w:type="dxa"/>
          <w:left w:w="28" w:type="dxa"/>
          <w:bottom w:w="28" w:type="dxa"/>
          <w:right w:w="28" w:type="dxa"/>
        </w:tblCellMar>
      </w:tblPr>
      <w:tblGrid>
        <w:gridCol w:w="706"/>
        <w:gridCol w:w="620"/>
        <w:gridCol w:w="624"/>
        <w:gridCol w:w="280"/>
        <w:gridCol w:w="820"/>
        <w:gridCol w:w="145"/>
        <w:gridCol w:w="109"/>
        <w:gridCol w:w="109"/>
        <w:gridCol w:w="109"/>
        <w:gridCol w:w="509"/>
        <w:gridCol w:w="981"/>
        <w:gridCol w:w="265"/>
        <w:gridCol w:w="109"/>
        <w:gridCol w:w="109"/>
        <w:gridCol w:w="109"/>
        <w:gridCol w:w="496"/>
        <w:gridCol w:w="955"/>
        <w:gridCol w:w="258"/>
        <w:gridCol w:w="109"/>
        <w:gridCol w:w="109"/>
        <w:gridCol w:w="109"/>
        <w:gridCol w:w="364"/>
        <w:gridCol w:w="1064"/>
        <w:gridCol w:w="266"/>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9,439 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9,439 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color w:val="000000"/>
          <w:sz w:val="20"/>
        </w:rPr>
        <w:t xml:space="preserve">For the years ended December 31, 2025, 2024 and 2023, interest income was $1.9 million, $0.9 million and $2.2 million, respectively, and was included within </w:t>
      </w:r>
      <w:r>
        <w:rPr>
          <w:rFonts w:ascii="Times New Roman;serif" w:hAnsi="Times New Roman;serif"/>
          <w:b w:val="false"/>
          <w:i/>
          <w:color w:val="000000"/>
          <w:sz w:val="20"/>
        </w:rPr>
        <w:t>interest income and other, net</w:t>
      </w:r>
      <w:r>
        <w:rPr>
          <w:color w:val="000000"/>
        </w:rPr>
        <w:t xml:space="preserve"> </w:t>
      </w:r>
      <w:r>
        <w:rPr>
          <w:rFonts w:ascii="Times New Roman;serif" w:hAnsi="Times New Roman;serif"/>
          <w:b w:val="false"/>
          <w:color w:val="000000"/>
          <w:sz w:val="20"/>
        </w:rPr>
        <w:t>in the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5. Fair Value Measurements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carrying amounts of the Company’s financial instruments, including accounts receivable, prepaid expenses and other current assets, accounts payable, accrued expenses and other current liabilities and the current portion of operating lease liabilities approximate their fair value due to the short-term nature of those instruments. The Company elected the fair value option for the second lien loans. The fair value of the Company’s other borrowings approximates their carrying value, or amortized cost, due to the short-term nature of the obligations or the relevant prevailing market rate of interest.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financial assets and liabilities measured at fair value on a recurring basis by level within the fair value hierarchy (in thousands):</w:t>
      </w:r>
    </w:p>
    <w:tbl>
      <w:tblPr>
        <w:tblW w:w="8280" w:type="dxa"/>
        <w:jc w:val="left"/>
        <w:tblInd w:w="0" w:type="dxa"/>
        <w:tblLayout w:type="fixed"/>
        <w:tblCellMar>
          <w:top w:w="28" w:type="dxa"/>
          <w:left w:w="28" w:type="dxa"/>
          <w:bottom w:w="28" w:type="dxa"/>
          <w:right w:w="28" w:type="dxa"/>
        </w:tblCellMar>
      </w:tblPr>
      <w:tblGrid>
        <w:gridCol w:w="1041"/>
        <w:gridCol w:w="913"/>
        <w:gridCol w:w="926"/>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PIPE Warrants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NRA Warrants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474345"/>
                <wp:effectExtent l="0" t="0" r="0" b="0"/>
                <wp:wrapNone/>
                <wp:docPr id="95" name="Frame91"/>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7965" w:type="dxa"/>
        <w:jc w:val="left"/>
        <w:tblInd w:w="0" w:type="dxa"/>
        <w:tblLayout w:type="fixed"/>
        <w:tblCellMar>
          <w:top w:w="28" w:type="dxa"/>
          <w:left w:w="28" w:type="dxa"/>
          <w:bottom w:w="28" w:type="dxa"/>
          <w:right w:w="28" w:type="dxa"/>
        </w:tblCellMar>
      </w:tblPr>
      <w:tblGrid>
        <w:gridCol w:w="1156"/>
        <w:gridCol w:w="1014"/>
        <w:gridCol w:w="1025"/>
        <w:gridCol w:w="211"/>
        <w:gridCol w:w="406"/>
        <w:gridCol w:w="109"/>
        <w:gridCol w:w="109"/>
        <w:gridCol w:w="109"/>
        <w:gridCol w:w="109"/>
        <w:gridCol w:w="211"/>
        <w:gridCol w:w="406"/>
        <w:gridCol w:w="109"/>
        <w:gridCol w:w="109"/>
        <w:gridCol w:w="109"/>
        <w:gridCol w:w="109"/>
        <w:gridCol w:w="211"/>
        <w:gridCol w:w="826"/>
        <w:gridCol w:w="109"/>
        <w:gridCol w:w="109"/>
        <w:gridCol w:w="109"/>
        <w:gridCol w:w="109"/>
        <w:gridCol w:w="211"/>
        <w:gridCol w:w="826"/>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Second lien loan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169,218 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169,218 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585" w:type="dxa"/>
        <w:jc w:val="left"/>
        <w:tblInd w:w="0" w:type="dxa"/>
        <w:tblLayout w:type="fixed"/>
        <w:tblCellMar>
          <w:top w:w="28" w:type="dxa"/>
          <w:left w:w="28" w:type="dxa"/>
          <w:bottom w:w="28" w:type="dxa"/>
          <w:right w:w="28" w:type="dxa"/>
        </w:tblCellMar>
      </w:tblPr>
      <w:tblGrid>
        <w:gridCol w:w="1739"/>
        <w:gridCol w:w="1527"/>
        <w:gridCol w:w="1549"/>
        <w:gridCol w:w="211"/>
        <w:gridCol w:w="61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1739"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SAFEs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 warrant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All of the Company’s money market funds and U.S. Treasury securities are highly liquid and actively traded marketable securities that generally transact at a stable $1.00 net asset value representing its estimated fair value.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measures its warrant liabilities (see Note 11), second lien loans (see Note 8), and SAFEs (see Note 9) at fair value based on significant inputs not observable in the market and therefore represent Level 3 inputs.</w:t>
      </w:r>
    </w:p>
    <w:p>
      <w:pPr>
        <w:pStyle w:val="TextBody"/>
        <w:bidi w:val="0"/>
        <w:spacing w:lineRule="auto" w:line="288" w:before="0" w:after="240"/>
        <w:jc w:val="left"/>
        <w:rPr/>
      </w:pPr>
      <w:r>
        <w:rPr>
          <w:rFonts w:ascii="Times New Roman;serif" w:hAnsi="Times New Roman;serif"/>
          <w:b w:val="false"/>
          <w:color w:val="000000"/>
          <w:sz w:val="20"/>
        </w:rPr>
        <w:t xml:space="preserve">The valuations of the warrant liabilities, second lien loans, and future equity obligations use assumptions and estimates the Company believes would be made by a market participant in making the same valuation. Changes in the fair value of these instruments were recognized in </w:t>
      </w:r>
      <w:r>
        <w:rPr>
          <w:rFonts w:ascii="Times New Roman;serif" w:hAnsi="Times New Roman;serif"/>
          <w:b w:val="false"/>
          <w:i/>
          <w:color w:val="000000"/>
          <w:sz w:val="20"/>
        </w:rPr>
        <w:t>other (expenses) income</w:t>
      </w:r>
      <w:r>
        <w:rPr>
          <w:color w:val="000000"/>
        </w:rPr>
        <w:t xml:space="preserve"> </w:t>
      </w:r>
      <w:r>
        <w:rPr>
          <w:rFonts w:ascii="Times New Roman;serif" w:hAnsi="Times New Roman;serif"/>
          <w:b w:val="false"/>
          <w:color w:val="000000"/>
          <w:sz w:val="20"/>
        </w:rPr>
        <w:t>in the Company’s consolidated statements of operations and comprehensive loss.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Warrant Liabilities - PIPE Warrants and NRA Warrants</w:t>
      </w:r>
    </w:p>
    <w:p>
      <w:pPr>
        <w:pStyle w:val="TextBody"/>
        <w:bidi w:val="0"/>
        <w:spacing w:lineRule="auto" w:line="288" w:before="0" w:after="240"/>
        <w:jc w:val="left"/>
        <w:rPr/>
      </w:pPr>
      <w:r>
        <w:rPr>
          <w:rFonts w:ascii="Times New Roman;serif" w:hAnsi="Times New Roman;serif"/>
          <w:b w:val="false"/>
          <w:color w:val="000000"/>
          <w:sz w:val="20"/>
        </w:rPr>
        <w:t xml:space="preserve">The Company determined the fair value of each of its PIPE Warrants and NRA Warrants using a Monte Carlo simulation model, applying the following key assumptions for the period from the issuance date of September 24, 2025 to December 31, 2025: a risk-free rate of 3.8% and volatility of 55.0%. Upon issuance, the fair values of the PIPE Warrants and NRA Warrants were recorded under </w:t>
      </w:r>
      <w:r>
        <w:rPr>
          <w:rFonts w:ascii="Times New Roman;serif" w:hAnsi="Times New Roman;serif"/>
          <w:b w:val="false"/>
          <w:i/>
          <w:color w:val="000000"/>
          <w:sz w:val="20"/>
        </w:rPr>
        <w:t xml:space="preserve">loss on issuance of equity instruments </w:t>
      </w:r>
      <w:r>
        <w:rPr>
          <w:rFonts w:ascii="Times New Roman;serif" w:hAnsi="Times New Roman;serif"/>
          <w:b w:val="false"/>
          <w:color w:val="000000"/>
          <w:sz w:val="20"/>
        </w:rPr>
        <w:t xml:space="preserve">in the consolidated statements of operations and comprehensive loss. Subsequent changes in the fair value were recorded under </w:t>
      </w:r>
      <w:r>
        <w:rPr>
          <w:rFonts w:ascii="Times New Roman;serif" w:hAnsi="Times New Roman;serif"/>
          <w:b w:val="false"/>
          <w:i/>
          <w:color w:val="000000"/>
          <w:sz w:val="20"/>
        </w:rPr>
        <w:t>change in fair value of common stock warrants</w:t>
      </w:r>
      <w:r>
        <w:rPr>
          <w:color w:val="000000"/>
        </w:rPr>
        <w:t xml:space="preserve"> </w:t>
      </w:r>
      <w:r>
        <w:rPr>
          <w:rFonts w:ascii="Times New Roman;serif" w:hAnsi="Times New Roman;serif"/>
          <w:b w:val="false"/>
          <w:color w:val="000000"/>
          <w:sz w:val="20"/>
        </w:rPr>
        <w:t>in the consolidated statements of operations and comprehensive loss.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Second Lien Loans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At the Closing, all then outstanding second lien loans, excluding the $10.0 million SAFE from an affiliate of AACT that was exchanged for a second lien loan, were converted into Kodiak common stock (see Note 8). Immediately prior to such conversion, the aggregate principal amount of the second lien loans that converted was $43.9 million and had an estimated fair value of $67.4 million, which was determined based on the opening price of the Company's common stock on the first day of trading following the consummation of the Merger.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determined the fair value of the outstanding second lien loans with a principal amount of $10.0 million using a pay-off-to-maturity method, with an implied discount rate of 23.7% as the key valuation assumption for the period from exchanged to December 31, 2025.</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Simple Agreements for Future Equity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At the Closing, all outstanding SAFEs were converted into shares of Kodiak common stock (see Note 9). Immediately prior to such conversion, the SAFE obligations were remeasured to a fair value of $263.0 million, which was determined based on the opening price of the Company's common stock on the first day of trading following the consummation of the Merger. Accordingly, no SAFEs remained outstanding as of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474345"/>
                <wp:effectExtent l="0" t="0" r="0" b="0"/>
                <wp:wrapNone/>
                <wp:docPr id="96" name="Frame92"/>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Legacy Kodiak Warrant Liabilities - Redeemable Convertible Preferred Stock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At the Closing, certain redeemable convertible preferred stock warrants were automatically net exercised (see Note 11). The remaining outstanding redeemable convertible preferred stock warrants were assumed by Kodiak to become warrants to purchase shares of its common stock, which were remeasured to fair value on the Closing Date and reclassified to equity as they met the conditions for equity classification (see Note 13). The Company determined the fair value of its redeemable convertible preferred stock warrants as of the Closing Date by using a Black-Scholes option-pricing model with key assumptions as follows: exercise price range of $0.01 to $3.54, expected term range of 0.0 years to 4.8 years, risk-free rate range of 3.6% to 3.9%, and volatility of 55.0%.</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Fair Value Remeasurement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changes in the estimated fair values of these liabilities (in thousands):</w:t>
      </w:r>
    </w:p>
    <w:tbl>
      <w:tblPr>
        <w:tblW w:w="10205" w:type="dxa"/>
        <w:jc w:val="center"/>
        <w:tblInd w:w="0" w:type="dxa"/>
        <w:tblLayout w:type="fixed"/>
        <w:tblCellMar>
          <w:top w:w="28" w:type="dxa"/>
          <w:left w:w="28" w:type="dxa"/>
          <w:bottom w:w="28" w:type="dxa"/>
          <w:right w:w="28" w:type="dxa"/>
        </w:tblCellMar>
      </w:tblPr>
      <w:tblGrid>
        <w:gridCol w:w="1049"/>
        <w:gridCol w:w="657"/>
        <w:gridCol w:w="661"/>
        <w:gridCol w:w="216"/>
        <w:gridCol w:w="849"/>
        <w:gridCol w:w="112"/>
        <w:gridCol w:w="109"/>
        <w:gridCol w:w="109"/>
        <w:gridCol w:w="109"/>
        <w:gridCol w:w="329"/>
        <w:gridCol w:w="1128"/>
        <w:gridCol w:w="172"/>
        <w:gridCol w:w="109"/>
        <w:gridCol w:w="109"/>
        <w:gridCol w:w="109"/>
        <w:gridCol w:w="244"/>
        <w:gridCol w:w="833"/>
        <w:gridCol w:w="125"/>
        <w:gridCol w:w="109"/>
        <w:gridCol w:w="109"/>
        <w:gridCol w:w="109"/>
        <w:gridCol w:w="211"/>
        <w:gridCol w:w="721"/>
        <w:gridCol w:w="109"/>
        <w:gridCol w:w="109"/>
        <w:gridCol w:w="109"/>
        <w:gridCol w:w="109"/>
        <w:gridCol w:w="316"/>
        <w:gridCol w:w="925"/>
        <w:gridCol w:w="240"/>
      </w:tblGrid>
      <w:tr>
        <w:trPr/>
        <w:tc>
          <w:tcPr>
            <w:tcW w:w="10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PIPE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Non-Redemption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Second Lien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SAFE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Legacy Kodiak Redeemable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Convertible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Preferred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Stock</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Warrants</w:t>
            </w:r>
          </w:p>
        </w:tc>
      </w:tr>
      <w:tr>
        <w:trPr/>
        <w:tc>
          <w:tcPr>
            <w:tcW w:w="2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during the year</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remeasurement</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during the year</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36,968 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43,865 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of SAFE for second lien loan</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Assumed Kodiak Warrants</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(3,842)</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remeasurement</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24,387 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via conversion or exercise</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(67,380)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(5,049)</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110,881 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47,465 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10,872 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6. Balance Sheet Components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 (in thousands):</w:t>
      </w:r>
    </w:p>
    <w:tbl>
      <w:tblPr>
        <w:tblW w:w="6174" w:type="dxa"/>
        <w:jc w:val="center"/>
        <w:tblInd w:w="0" w:type="dxa"/>
        <w:tblLayout w:type="fixed"/>
        <w:tblCellMar>
          <w:top w:w="28" w:type="dxa"/>
          <w:left w:w="28" w:type="dxa"/>
          <w:bottom w:w="28" w:type="dxa"/>
          <w:right w:w="28" w:type="dxa"/>
        </w:tblCellMar>
      </w:tblPr>
      <w:tblGrid>
        <w:gridCol w:w="1423"/>
        <w:gridCol w:w="1252"/>
        <w:gridCol w:w="1255"/>
        <w:gridCol w:w="211"/>
        <w:gridCol w:w="616"/>
        <w:gridCol w:w="109"/>
        <w:gridCol w:w="109"/>
        <w:gridCol w:w="109"/>
        <w:gridCol w:w="109"/>
        <w:gridCol w:w="211"/>
        <w:gridCol w:w="616"/>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 credit receivable</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 </w:t>
      </w:r>
    </w:p>
    <w:tbl>
      <w:tblPr>
        <w:tblW w:w="1682" w:type="dxa"/>
        <w:jc w:val="center"/>
        <w:tblInd w:w="0" w:type="dxa"/>
        <w:tblLayout w:type="fixed"/>
        <w:tblCellMar>
          <w:top w:w="28" w:type="dxa"/>
          <w:left w:w="28" w:type="dxa"/>
          <w:bottom w:w="28" w:type="dxa"/>
          <w:right w:w="28" w:type="dxa"/>
        </w:tblCellMar>
      </w:tblPr>
      <w:tblGrid>
        <w:gridCol w:w="124"/>
        <w:gridCol w:w="109"/>
        <w:gridCol w:w="109"/>
        <w:gridCol w:w="155"/>
        <w:gridCol w:w="155"/>
        <w:gridCol w:w="156"/>
        <w:gridCol w:w="121"/>
        <w:gridCol w:w="121"/>
        <w:gridCol w:w="121"/>
        <w:gridCol w:w="149"/>
        <w:gridCol w:w="149"/>
        <w:gridCol w:w="2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474345"/>
                <wp:effectExtent l="0" t="0" r="0" b="0"/>
                <wp:wrapNone/>
                <wp:docPr id="97" name="Frame93"/>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5243" w:type="dxa"/>
        <w:jc w:val="center"/>
        <w:tblInd w:w="0" w:type="dxa"/>
        <w:tblLayout w:type="fixed"/>
        <w:tblCellMar>
          <w:top w:w="28" w:type="dxa"/>
          <w:left w:w="28" w:type="dxa"/>
          <w:bottom w:w="28" w:type="dxa"/>
          <w:right w:w="28" w:type="dxa"/>
        </w:tblCellMar>
      </w:tblPr>
      <w:tblGrid>
        <w:gridCol w:w="1048"/>
        <w:gridCol w:w="921"/>
        <w:gridCol w:w="925"/>
        <w:gridCol w:w="211"/>
        <w:gridCol w:w="721"/>
        <w:gridCol w:w="109"/>
        <w:gridCol w:w="109"/>
        <w:gridCol w:w="109"/>
        <w:gridCol w:w="109"/>
        <w:gridCol w:w="211"/>
        <w:gridCol w:w="616"/>
        <w:gridCol w:w="154"/>
      </w:tblGrid>
      <w:tr>
        <w:trPr/>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Vehicles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infrastructure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Equipment and hardware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was $3.2 million, $4.6 million, and $4.2 million for the years ended December 31, 2025, 2024, and 2023, respectively.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Accrued Expenses and Other Current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(in thousands): </w:t>
      </w:r>
    </w:p>
    <w:tbl>
      <w:tblPr>
        <w:tblW w:w="6713" w:type="dxa"/>
        <w:jc w:val="center"/>
        <w:tblInd w:w="0" w:type="dxa"/>
        <w:tblLayout w:type="fixed"/>
        <w:tblCellMar>
          <w:top w:w="28" w:type="dxa"/>
          <w:left w:w="28" w:type="dxa"/>
          <w:bottom w:w="28" w:type="dxa"/>
          <w:right w:w="28" w:type="dxa"/>
        </w:tblCellMar>
      </w:tblPr>
      <w:tblGrid>
        <w:gridCol w:w="1542"/>
        <w:gridCol w:w="1354"/>
        <w:gridCol w:w="1363"/>
        <w:gridCol w:w="211"/>
        <w:gridCol w:w="721"/>
        <w:gridCol w:w="109"/>
        <w:gridCol w:w="109"/>
        <w:gridCol w:w="109"/>
        <w:gridCol w:w="109"/>
        <w:gridCol w:w="211"/>
        <w:gridCol w:w="721"/>
        <w:gridCol w:w="154"/>
      </w:tblGrid>
      <w:tr>
        <w:trPr/>
        <w:tc>
          <w:tcPr>
            <w:tcW w:w="1542"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 and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7. Leases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has operating lease arrangements for facilities under non-cancellable agreements with various expiration dates through 2031. The agreements may include renewal options to extend the term that the Company is not reasonably certain to exercise.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Rent expense related to operating lease liabilities was $2.6 million, $2.5 million, and $2.3 million for the years ended December 31, 2025, 2024, and 2023, respectively. Variable costs were $0.6 million for the year ended December 31, 2025. In addition, the Company recognized $0.3 million, $0.2 million, and $0.1 million in rent expenses related to short-term leases for the years ended December 31, 2025, 2024, and 2023,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474345"/>
                <wp:effectExtent l="0" t="0" r="0" b="0"/>
                <wp:wrapNone/>
                <wp:docPr id="98" name="Frame94"/>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December 31, 2025, future minimum lease payments for the Company’s operating lease liabilities were as follows (in thousands):</w:t>
      </w:r>
    </w:p>
    <w:tbl>
      <w:tblPr>
        <w:tblW w:w="4638" w:type="dxa"/>
        <w:jc w:val="center"/>
        <w:tblInd w:w="0" w:type="dxa"/>
        <w:tblLayout w:type="fixed"/>
        <w:tblCellMar>
          <w:top w:w="28" w:type="dxa"/>
          <w:left w:w="28" w:type="dxa"/>
          <w:bottom w:w="28" w:type="dxa"/>
          <w:right w:w="28" w:type="dxa"/>
        </w:tblCellMar>
      </w:tblPr>
      <w:tblGrid>
        <w:gridCol w:w="1204"/>
        <w:gridCol w:w="1061"/>
        <w:gridCol w:w="1065"/>
        <w:gridCol w:w="109"/>
        <w:gridCol w:w="109"/>
        <w:gridCol w:w="109"/>
        <w:gridCol w:w="211"/>
        <w:gridCol w:w="616"/>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3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Operating 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additional information related to operating leases for the periods presented:</w:t>
      </w:r>
    </w:p>
    <w:tbl>
      <w:tblPr>
        <w:tblW w:w="8970" w:type="dxa"/>
        <w:jc w:val="center"/>
        <w:tblInd w:w="0" w:type="dxa"/>
        <w:tblLayout w:type="fixed"/>
        <w:tblCellMar>
          <w:top w:w="28" w:type="dxa"/>
          <w:left w:w="28" w:type="dxa"/>
          <w:bottom w:w="28" w:type="dxa"/>
          <w:right w:w="28" w:type="dxa"/>
        </w:tblCellMar>
      </w:tblPr>
      <w:tblGrid>
        <w:gridCol w:w="1685"/>
        <w:gridCol w:w="1479"/>
        <w:gridCol w:w="1486"/>
        <w:gridCol w:w="109"/>
        <w:gridCol w:w="109"/>
        <w:gridCol w:w="109"/>
        <w:gridCol w:w="211"/>
        <w:gridCol w:w="616"/>
        <w:gridCol w:w="271"/>
        <w:gridCol w:w="109"/>
        <w:gridCol w:w="109"/>
        <w:gridCol w:w="109"/>
        <w:gridCol w:w="211"/>
        <w:gridCol w:w="616"/>
        <w:gridCol w:w="271"/>
        <w:gridCol w:w="109"/>
        <w:gridCol w:w="109"/>
        <w:gridCol w:w="109"/>
        <w:gridCol w:w="211"/>
        <w:gridCol w:w="616"/>
        <w:gridCol w:w="316"/>
      </w:tblGrid>
      <w:tr>
        <w:trPr/>
        <w:tc>
          <w:tcPr>
            <w:tcW w:w="168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years</w:t>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made for operating leases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Second Lien Loans</w:t>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Concurrent with the execution of the BCA in April 2025, the Company entered into a Second Lien Loan and Security Agreement, which was subsequently amended to extend the deadline to fund the delayed draw second lien loans and to include additional investors. Under the Second Lien Loan and Security Agreement, certain institutional and accredited investors committed to providing bridge financing in the form of secured convertible notes. Prior to the Closing, $53.9 million had been funded, including $20.0 million from an affiliate of AACT, an aggregate of $12.4 million from a vehicle controlled by a board member of the Company and a vehicle owned by certain Ares employees in which a former officer and former director of AACT was invested, $10.0 million from the exchange of a SAFE from an affiliate of AACT (the “Exchanged SAFE”) (see Note 9), and $5.0 million from an affiliate of one of the Company’s board members. Following the Closing, a former officer of AACT became a board member of the Company.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At the Closing, second lien loans in an aggregate principal amount of $43.9 million and with a fair value of $67.4 million (see Note 5), automatically converted into 7,700,557 shares of Kodiak common stock based on the agreed upon conversion price of $6.00 per share. The $10.0 million in principal from the Exchanged SAFE remained outstanding as of December 31, 2025, with a fair value of $10.9 million and a maturity date of October 1,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second lien loans bear interest at an interest rate per annum equal to the prime rate plus 9.00%, subject to a minimum rate of 13.75%. Interest accrues on the first business day of each month, and is capitalized and included in the principal balance due at maturity. The interest rate applicable to the second lien loans was 16.50% as of December 31, 2025. The Company was in compliance with its covenants as of December 31, 2025.</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Promissory Notes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was obligated to reimburse 50% of the monthly contributions made by the Sponsor to AACT’s trust account as well as certain transaction costs incurred by AACT pursuant to the BCA. From April through August 2025,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474345"/>
                <wp:effectExtent l="0" t="0" r="0" b="0"/>
                <wp:wrapNone/>
                <wp:docPr id="99" name="Frame95"/>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Company issued secured promissory notes with respect to its reimbursement obligations to AACT and the Sponsor, which were secured under the Second Lien Loan and Security Agreement. The promissory notes did not bear any interest (other than the default rate in accordance with the Second Lien Loan and Security Agreement).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At the Closing, the aggregate outstanding principal amount of the promissory notes was $4.9 million, which was paid in full. No promissory notes remained outstanding as of December 31, 2025.</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2025 Credit Facility</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In September 2022, the Company entered into a venture loan and security agreement (the “2022 Credit Facility”) with a financial institution to borrow secured term loans of up to an aggregate principal amount of $30.0 million, which was drawn in full upon execution. The 2022 Credit Facility was amended in June 2024 to revise the repayment schedule and delay principal payments by five months, which was accounted for as a modification. The 2022 Credit Facility was further amended in February 2025 to permit the transaction as contemplated by the BCA (see Note 1) and in September 2025 to make certain conforming changes to account for the closing of the Merger and provide for a post-closing period for the joinder of the Company as a co-borrower under the 2022 Credit Facility.</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In December 2025, the 2022 Credit Facility was amended pursuant to which the Company increased the amount available to be borrowed and extended the maturity date (the “2025 Credit Facility”), which was accounted for as a modification. The 2025 Credit Facility provided for borrowings in secured term loans up to an aggregate principal amount of $30.0 million, which was drawn in full upon execution. The proceeds (i) were used to repay the then outstanding principal balance of $15.0 million and the final repayment fee of $1.2 million under the 2022 Credit Facility and (ii) will be used for working capital and general corporate purposes. Borrowings under the 2025 Credit Facility are secured by substantially all of the assets of the Company, including the Company’s intellectual property, subject to certain customary exceptions. The 2025 Credit Facility contains customary covenants and customary events of default. The Company was in compliance with its covenants as of December 31, 2025.</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Borrowings under the 2025 Credit Facility mature in January 2030 and provide for interest-only payments from February 1, 2026 to July 1, 2028. Consecutive payments of principal and interest are due beginning on August 1, 2028 once the interest-only period elapses. The 2025 Credit Facility bears interest that is payable monthly at 3.50% plus the greater of (i) 6.50% and (ii) the prime rate. The interest rate under the 2025 Credit Facility was 10.25% as of closing and as of December 31, 2025. In addition, a final payment fee of $1.2 million is due upon the earlier of prepayment or maturity of the debt. The Company has the option to prepay the entire balance of the debt subject to a prepayment fee ranging from 1.0% to 2.0% depending on the timing of such repayments.</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Total debt issuance costs related to the 2025 Credit Facility of $0.8 million were recorded as a debt discount, which included $0.5 million for the fair value of 45,906 shares of common stock issued to the lender concurrently with the execution of the 2025 Credit Facility and a commitment fee of $0.3 million. The debt discount, together with the final payment fee and $0.1 million of unamortized debt issuance costs related to the 2022 Credit Facility is recognized as interest expense using the effective interest method over the term of the loan.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2022 Equipment Facility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July 2022, the Company entered into a financing agreement with a lender to borrow up to $10.0 million as equipment line advances (the “2022 Equipment Facility”) pursuant to which it borrowed at various dates an aggregate principal amount of $8.5 million. Borrowings under the 2022 Equipment Facility are secured by the specific assets that were financed. The 2022 Equipment Facility contains customary representations and warranties, non-financial covenants and customary events of default. The Company was in compliance with its covenants as of December 31,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Borrowings under the 2022 Equipment Facility mature in March 2028 and repayments of principal and interest are due monthly commencing in the month following each draw. As of December 31, 2025, and December 31, 2024, the aggregate principal amount outstanding was $1.9 million and $4.1 million, respectively. The 2022 Equipment Facility bears an annual interest rate equivalent to a five-year swap plus 3.38% or ranging from approximately 6.0% to 7.0%.</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Total debt issuance costs related to the 2022 Equipment Facility of $0.1 million were recorded as a debt discount, which included immaterial amounts related to the fair value of warrants to purchase shares of the Company’s common stock issued concurrently with the execution of the 2022 Equipment Facility and other issuance costs. The debt discount is recognized as interest expense using the effective interest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474345"/>
                <wp:effectExtent l="0" t="0" r="0" b="0"/>
                <wp:wrapNone/>
                <wp:docPr id="100" name="Frame96"/>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Company’s future minimum principal payments under its debt arrangements are as follows (in thousands):</w:t>
      </w:r>
    </w:p>
    <w:tbl>
      <w:tblPr>
        <w:tblW w:w="8927" w:type="dxa"/>
        <w:jc w:val="center"/>
        <w:tblInd w:w="0" w:type="dxa"/>
        <w:tblLayout w:type="fixed"/>
        <w:tblCellMar>
          <w:top w:w="28" w:type="dxa"/>
          <w:left w:w="28" w:type="dxa"/>
          <w:bottom w:w="28" w:type="dxa"/>
          <w:right w:w="28" w:type="dxa"/>
        </w:tblCellMar>
      </w:tblPr>
      <w:tblGrid>
        <w:gridCol w:w="1577"/>
        <w:gridCol w:w="1390"/>
        <w:gridCol w:w="1397"/>
        <w:gridCol w:w="109"/>
        <w:gridCol w:w="109"/>
        <w:gridCol w:w="109"/>
        <w:gridCol w:w="295"/>
        <w:gridCol w:w="1008"/>
        <w:gridCol w:w="152"/>
        <w:gridCol w:w="109"/>
        <w:gridCol w:w="109"/>
        <w:gridCol w:w="109"/>
        <w:gridCol w:w="211"/>
        <w:gridCol w:w="721"/>
        <w:gridCol w:w="109"/>
        <w:gridCol w:w="109"/>
        <w:gridCol w:w="109"/>
        <w:gridCol w:w="109"/>
        <w:gridCol w:w="211"/>
        <w:gridCol w:w="721"/>
        <w:gridCol w:w="154"/>
      </w:tblGrid>
      <w:tr>
        <w:trPr/>
        <w:tc>
          <w:tcPr>
            <w:tcW w:w="1577"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Second Lien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Other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 debt payments and final payment fee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final payment fee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 of 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9. Simple Agreements for Future Equity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Prior to the Closing, the Company had entered into SAFEs with various investors that were classified as liabilities on the Company’s consolidated balance sheets and accounted for at fair value, subject to remeasurement each reporting period (see Note 5). Each SAFE had no maturity date, did not bear any interest and provided the investor with the right to convert into a variable number of shares of future equity in the Company at the stated conversion amount, if certain events or conditions were triggered. All such SAFEs converted into 30,061,262 shares of Kodiak common stock on the Closing Date, with a fair value of $263.0 million.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2024, the Company entered into SAFEs with several investors for an aggregate purchase amount of $45.2 million (“2024 SAFEs”), including $10.4 million with affiliates of two board members. At the same time, the terms of a SAFE entered into in 2023, with an affiliate of a board member, for an aggregate purchase amount of $10.0 million (“2023 SAFE”) were aligned with the 2024 SAFE terms. Between February and April 2025, the Company entered into SAFEs with certain investors for an aggregate purchase amount of $23.7 million (“2025 SAFEs”), including $10.0 million from an affiliate of AACT and $4.0 million from affiliates of two board members. At the same time, the terms of the 2023 SAFE and 2024 SAFEs were amended to include conversion terms upon a SPAC transaction to align with the 2025 SAFE terms. In addition, in April 2025, the $10.0 million SAFE from an affiliate of AACT was exchanged for a second lien loan pursuant to the terms of such SAFE (see Note 8).</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fair value of the SAFEs, including changes as a result of the amendments and the exchange for a second lien loan, were recorded in the consolidated statements of operations and comprehensive loss during the periods presented prior to the Closing.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10. Commitments and Contingencies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become involved in various litigation and administrative proceedings relating to claims arising from its operations in the normal course of business. As of December 31, 2025, the Company was not involved in any legal actions that could have a material effect on the Company’s financial position, results of operations or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474345"/>
                <wp:effectExtent l="0" t="0" r="0" b="0"/>
                <wp:wrapNone/>
                <wp:docPr id="101" name="Frame97"/>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contracts with vendors in the conduct of the normal course of its business are generally terminable with advanced written notice and payment for any products or services received by the Company through the effective time of termination. However, the Company has entered into contracts to purchase services under which non-cancellable future minimum payments as of December 31, 2025, were as follows (in thousands):</w:t>
      </w:r>
    </w:p>
    <w:tbl>
      <w:tblPr>
        <w:tblW w:w="3288" w:type="dxa"/>
        <w:jc w:val="center"/>
        <w:tblInd w:w="0" w:type="dxa"/>
        <w:tblLayout w:type="fixed"/>
        <w:tblCellMar>
          <w:top w:w="28" w:type="dxa"/>
          <w:left w:w="28" w:type="dxa"/>
          <w:bottom w:w="28" w:type="dxa"/>
          <w:right w:w="28" w:type="dxa"/>
        </w:tblCellMar>
      </w:tblPr>
      <w:tblGrid>
        <w:gridCol w:w="716"/>
        <w:gridCol w:w="631"/>
        <w:gridCol w:w="633"/>
        <w:gridCol w:w="109"/>
        <w:gridCol w:w="109"/>
        <w:gridCol w:w="109"/>
        <w:gridCol w:w="211"/>
        <w:gridCol w:w="616"/>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11. Warrant Liabilities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Common Stock Warrant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had the following liability classified warrants to purchase shares of its common stock outstanding (in thousands, except exercise price per share): </w:t>
      </w:r>
    </w:p>
    <w:tbl>
      <w:tblPr>
        <w:tblW w:w="5590" w:type="dxa"/>
        <w:jc w:val="center"/>
        <w:tblInd w:w="0" w:type="dxa"/>
        <w:tblLayout w:type="fixed"/>
        <w:tblCellMar>
          <w:top w:w="28" w:type="dxa"/>
          <w:left w:w="28" w:type="dxa"/>
          <w:bottom w:w="28" w:type="dxa"/>
          <w:right w:w="28" w:type="dxa"/>
        </w:tblCellMar>
      </w:tblPr>
      <w:tblGrid>
        <w:gridCol w:w="569"/>
        <w:gridCol w:w="502"/>
        <w:gridCol w:w="504"/>
        <w:gridCol w:w="305"/>
        <w:gridCol w:w="305"/>
        <w:gridCol w:w="306"/>
        <w:gridCol w:w="109"/>
        <w:gridCol w:w="109"/>
        <w:gridCol w:w="109"/>
        <w:gridCol w:w="253"/>
        <w:gridCol w:w="741"/>
        <w:gridCol w:w="132"/>
        <w:gridCol w:w="109"/>
        <w:gridCol w:w="109"/>
        <w:gridCol w:w="109"/>
        <w:gridCol w:w="385"/>
        <w:gridCol w:w="385"/>
        <w:gridCol w:w="549"/>
      </w:tblGrid>
      <w:tr>
        <w:trPr/>
        <w:tc>
          <w:tcPr>
            <w:tcW w:w="56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br/>
              <w:t>Underlying</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Expiration Date</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PIPE Warrants</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9/24/2031</w:t>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NRA Warrants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9/24/2031</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outstanding</w:t>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PIPE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At the Closing, and in connection with a financing transaction (see Note 12), the Company issued PIPE Warrants to purchase shares of its common stock that were immediately exercisable upon issuance. The PIPE Warrants are subject to standard anti-dilution provisions, a reset of the exercise price six and nine months after the Closing Date based on the trailing 45-day VWAP of the Company's stock as well as down-round provisions that provide for adjustments upon the expiration or termination of certain Company securities. As a result of the down-round provisions, which may result in adjustments triggered by events that are not an input into the fair value model, the PIPE Warrants did not meet the requirements for equity classification and were therefore classified as liabilities, subject to remeasurement each reporting period (see Note 5).</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Non-Redemption Agreement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NRA Warrants have substantially the same terms as the PIPE Warrants, including the standard anti-dilution provisions, a reset of the exercise price as well as down-round provisions that provide for adjustments upon the expiration or termination of certain Company securities as described above. Similarly, the NRA Warrants did not meet the requirements for equity classification and were therefore classified as liabilities, subject to remeasurement each reporting period (see Note 5).</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Legacy Kodiak Warrant Liabilities - Redeemable Convertible Preferred Stock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At the Closing, certain Legacy Kodiak warrants to purchase shares of redeemable convertible preferred stock that had previously been issued were net settled, resulting in the issuance of 614,799 shares of Kodiak common stock. In addition, certain Legacy Kodiak warrants to purchase shares of redeemable convertible preferred stock were assumed by the Company and became 558,559 shares to purchase its common stock, or the Assumed Kodiak Warrants (see Note 13).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474345"/>
                <wp:effectExtent l="0" t="0" r="0" b="0"/>
                <wp:wrapNone/>
                <wp:docPr id="102" name="Frame98"/>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Upon the Closing, the Kodiak Assumed Warrants were remeasured and reclassified to equity as the criteria for equity classification were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12. Redeemable Convertible Preferred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Series A Cumulative Redeemable Convertible Preferred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At the Closing, the Company issued an aggregate of 142,155 shares of the Series A Preferred Stock and 17,769,375 freestanding PIPE Warrants for total gross proceeds of $145.0 million (see Note 3). The Company determined the fair value of the Series A Preferred Stock and the PIPE Warrants (see Note 5) at issuance using a Monte Carlo simulation model. The valuation of the Series A Preferred Stock incorporated key assumptions, including a dividend rate of 9.99% (payable in kind), a five-year redemption period, a discount rate of 25%, and a volatility assumption of 55%. </w:t>
      </w:r>
    </w:p>
    <w:p>
      <w:pPr>
        <w:pStyle w:val="TextBody"/>
        <w:bidi w:val="0"/>
        <w:spacing w:lineRule="auto" w:line="288" w:before="0" w:after="240"/>
        <w:jc w:val="left"/>
        <w:rPr/>
      </w:pPr>
      <w:r>
        <w:rPr>
          <w:rFonts w:ascii="Times New Roman;serif" w:hAnsi="Times New Roman;serif"/>
          <w:b w:val="false"/>
          <w:color w:val="000000"/>
          <w:sz w:val="20"/>
        </w:rPr>
        <w:t xml:space="preserve">The valuations indicated an aggregate fair value of $315.6 million, consisting of $229.2 million for the Series A Preferred Stock and $86.4 million for the PIPE Warrants. As the aggregate fair value exceeded the $145.0 million of proceeds received, the Company recognized a total loss of $170.6 million recorded under </w:t>
      </w:r>
      <w:r>
        <w:rPr>
          <w:rFonts w:ascii="Times New Roman;serif" w:hAnsi="Times New Roman;serif"/>
          <w:b w:val="false"/>
          <w:i/>
          <w:color w:val="000000"/>
          <w:sz w:val="20"/>
        </w:rPr>
        <w:t>loss on issuance of equity instruments</w:t>
      </w:r>
      <w:r>
        <w:rPr>
          <w:color w:val="000000"/>
        </w:rPr>
        <w:t xml:space="preserve"> </w:t>
      </w:r>
      <w:r>
        <w:rPr>
          <w:rFonts w:ascii="Times New Roman;serif" w:hAnsi="Times New Roman;serif"/>
          <w:b w:val="false"/>
          <w:color w:val="000000"/>
          <w:sz w:val="20"/>
        </w:rPr>
        <w:t>in the consolidated statements of operations and comprehensive loss for the year ended December 31,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it is probable that the Series A Preferred Stock will become redeemable based on the passage of time as the holders may redeem at any time after the 5-year anniversary of the Closing Date, the Series A Preferred Stock was recorded in mezzanine equity in the consolidated balance sheet as of December 31, 2025. The Company elected to record changes in the redemption value as they occur and adjust the carrying amount equal to the redemption amount. As the carrying value of the Series A Preferred Stock of $223.2 million was greater than its redemption value (and liquidation preference) of $175.2 million as of December 31, 2025, no change in redemption value was required to be recorded for the year ended December 31,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significant rights and preferences of the Series A Preferred Stock are as follows: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Series A Preferred Stock accrues dividends daily at an annual rate of 9.99% when dividends are paid in additional shares of preferred stock, or 7.99% when paid in cash. Dividends compound on a semi-annual basis, payable on June 1 and December 1 each year, and accumulate whether or not declared. Dividends accrued as of December 1, 2025 were paid in kind, which resulted in the accrued value of the Series A Preferred Stock increasing from a stated value $1,200.0 to $1,222.7 per share. As of December 31, 2025, dividends had accrued from December 2, 2025 through period-end but had not yet been paid or compounded.</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Voting Rights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Series A Preferred Stock are entitled to vote together with common stock holders as a single class on most matters. Each holder is entitled to a number of votes equal to the number of common shares into which their preferred shares are convertible (i.e., as-converted basis). Additionally, the Company cannot take certain actions, such as liquidating, amending its charter in a way that is materially adverse to the preferred stock, or creating a new senior security, without the approval of a majority of the outstanding Series A Preferred Stock.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Liquidation Preference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Upon any liquidation or deemed liquidation event, holders of the Series A Preferred Stock are entitled to receive, before any distribution to holders of common stock or other junior securities, an amount per share equal to the greater of (i) the original issue price of the preferred stock plus any accumulated and unpaid dividends through the most recent semi-annual dividend date, or (ii) the amount that would have been received if all shares of Series A Preferred Stock had been converted into common stock immediately prior to the liquidation event.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474345"/>
                <wp:effectExtent l="0" t="0" r="0" b="0"/>
                <wp:wrapNone/>
                <wp:docPr id="103" name="Frame99"/>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Conversion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Each share of Series A Preferred Stock is convertible into shares of the Company’s common stock at any time at the option of the holder. The number of shares issuable upon conversion is determined by dividing the carrying amount of the preferred share, including any accrued but unpaid dividends, by the applicable conversion price. The initial conversion price is $12.00 per share, subject to adjustment for stock dividends, stock splits, combinations, and similar events, as well as customary anti-dilution provisions. If the trailing 45-day volume-weighted average price of the Company’s common stock is below the then-effective conversion price on May 29, 2026, the conversion price will be adjusted to the greater of such average price or $8.00. A second adjustment may occur on August 28, 2026, reducing the conversion price to the greater of the trailing 45-day volume-weighted average price or $6.00.</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Holder Redemption Rights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Holders of Series A Preferred Stock possess a right of redemption that can be exercised at any time after the fifth anniversary of the Closing Date, unless such a distribution is prohibited by applicable law. Upon a request for redemption, the Company is obligated to redeem the shares at a price equal to the original issue price of the preferred stock, plus any accrued and unpaid dividends.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Company Redemption Rights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possesses a right of redemption for the Series A Preferred Stock, which can be exercised at any time, unless prohibited by applicable law. The redemption price varies depending on when the right is exercised: specifically, the price is 150% of the sum of the Stated Value per share and all dividends paid in additional shares of preferred stock, plus any accrued and unpaid dividends, prior to the first anniversary of the Closing Date. This redemption price decreases over time: to 140% from the first to second anniversary, to 130% from the second to third anniversary, to 120% from the third to fourth anniversary, to 110% from the fourth to fifth anniversary, and to 100% after the fifth anniversary of the Closing Date. The price is subject to adjustment for any stock dividends, stock splits, combinations, or other similar recapitalizations involving the Series A Preferred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Redeemable Convertible Preferred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Immediately prior to the Merger, all shares of issued and outstanding Legacy Kodiak redeemable convertible preferred stock were converted into shares of Legacy Kodiak common stock at a one-for-one conversion rate. At the Closing, these shares of Legacy Kodiak common stock were converted into 62,240,390 shares of Kodiak common stock. As of December 31, 2025, no shares of Legacy Kodiak redeemable convertible preferred stock were issued and outstanding.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December 31, 2024, Legacy Kodiak’s redeemable convertible preferred stock consisted of the following (in thousands):</w:t>
      </w:r>
    </w:p>
    <w:tbl>
      <w:tblPr>
        <w:tblW w:w="7965" w:type="dxa"/>
        <w:jc w:val="center"/>
        <w:tblInd w:w="0" w:type="dxa"/>
        <w:tblLayout w:type="fixed"/>
        <w:tblCellMar>
          <w:top w:w="28" w:type="dxa"/>
          <w:left w:w="28" w:type="dxa"/>
          <w:bottom w:w="28" w:type="dxa"/>
          <w:right w:w="28" w:type="dxa"/>
        </w:tblCellMar>
      </w:tblPr>
      <w:tblGrid>
        <w:gridCol w:w="1535"/>
        <w:gridCol w:w="1124"/>
        <w:gridCol w:w="1091"/>
        <w:gridCol w:w="109"/>
        <w:gridCol w:w="109"/>
        <w:gridCol w:w="335"/>
        <w:gridCol w:w="335"/>
        <w:gridCol w:w="336"/>
        <w:gridCol w:w="109"/>
        <w:gridCol w:w="109"/>
        <w:gridCol w:w="109"/>
        <w:gridCol w:w="211"/>
        <w:gridCol w:w="826"/>
        <w:gridCol w:w="109"/>
        <w:gridCol w:w="109"/>
        <w:gridCol w:w="109"/>
        <w:gridCol w:w="109"/>
        <w:gridCol w:w="211"/>
        <w:gridCol w:w="826"/>
        <w:gridCol w:w="154"/>
      </w:tblGrid>
      <w:tr>
        <w:trPr/>
        <w:tc>
          <w:tcPr>
            <w:tcW w:w="1535"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Issued and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Liquidation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Preference</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Seed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B-1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B-2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redeemable convertible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170,648 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474345"/>
                <wp:effectExtent l="0" t="0" r="0" b="0"/>
                <wp:wrapNone/>
                <wp:docPr id="104" name="Frame100"/>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13. Stockholders’ Deficit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September 2025, the Company authorized 2,000,000,000 shares, consisting of 1,980,000,000 shares of Kodiak common stock, par value $0.0001 per share, and 20,000,000 shares of Kodiak preferred stock, par value $0.0001 per share. Each share of Kodiak common stock is entitled to one vote.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Common stock reserved for future issuance as of December 31, 2025 was as follows (in thousands).</w:t>
      </w:r>
    </w:p>
    <w:tbl>
      <w:tblPr>
        <w:tblW w:w="7491" w:type="dxa"/>
        <w:jc w:val="center"/>
        <w:tblInd w:w="0" w:type="dxa"/>
        <w:tblLayout w:type="fixed"/>
        <w:tblCellMar>
          <w:top w:w="28" w:type="dxa"/>
          <w:left w:w="28" w:type="dxa"/>
          <w:bottom w:w="28" w:type="dxa"/>
          <w:right w:w="28" w:type="dxa"/>
        </w:tblCellMar>
      </w:tblPr>
      <w:tblGrid>
        <w:gridCol w:w="2130"/>
        <w:gridCol w:w="1867"/>
        <w:gridCol w:w="1876"/>
        <w:gridCol w:w="451"/>
        <w:gridCol w:w="451"/>
        <w:gridCol w:w="453"/>
        <w:gridCol w:w="109"/>
        <w:gridCol w:w="154"/>
      </w:tblGrid>
      <w:tr>
        <w:trPr/>
        <w:tc>
          <w:tcPr>
            <w:tcW w:w="2130"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 Out Securities</w:t>
            </w:r>
          </w:p>
        </w:tc>
        <w:tc>
          <w:tcPr>
            <w:tcW w:w="1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74,998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Common stock warrants</w:t>
            </w:r>
            <w:r>
              <w:rPr>
                <w:rFonts w:ascii="Times New Roman;serif" w:hAnsi="Times New Roman;serif"/>
                <w:b w:val="false"/>
                <w:color w:val="000000"/>
                <w:sz w:val="13"/>
              </w:rPr>
              <w:t>1</w:t>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stock options</w:t>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issuance under equity incentive plan</w:t>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25,709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Cumulative redeemable convertible preferred stock</w:t>
            </w:r>
            <w:r>
              <w:rPr>
                <w:rFonts w:ascii="Times New Roman;serif" w:hAnsi="Times New Roman;serif"/>
                <w:b w:val="false"/>
                <w:color w:val="000000"/>
                <w:sz w:val="13"/>
              </w:rPr>
              <w:t>2</w:t>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14,597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issuance under the ESPP</w:t>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3"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241,607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28"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6"/>
              </w:rPr>
              <w:t>Common stock warrants include both equity-classified and liability-classified warrants (see Note 11).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16"/>
              </w:rPr>
              <w:t>Includes shares issuable for accrued interest paid-in-kind (see Note 12).</w:t>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Equity-Classified Common Stock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had the following equity-classified common stock warrants outstanding (in thousands, except exercise price per share): </w:t>
      </w:r>
    </w:p>
    <w:tbl>
      <w:tblPr>
        <w:tblW w:w="7090" w:type="dxa"/>
        <w:jc w:val="center"/>
        <w:tblInd w:w="0" w:type="dxa"/>
        <w:tblLayout w:type="fixed"/>
        <w:tblCellMar>
          <w:top w:w="28" w:type="dxa"/>
          <w:left w:w="28" w:type="dxa"/>
          <w:bottom w:w="28" w:type="dxa"/>
          <w:right w:w="28" w:type="dxa"/>
        </w:tblCellMar>
      </w:tblPr>
      <w:tblGrid>
        <w:gridCol w:w="846"/>
        <w:gridCol w:w="745"/>
        <w:gridCol w:w="748"/>
        <w:gridCol w:w="305"/>
        <w:gridCol w:w="305"/>
        <w:gridCol w:w="306"/>
        <w:gridCol w:w="109"/>
        <w:gridCol w:w="109"/>
        <w:gridCol w:w="109"/>
        <w:gridCol w:w="285"/>
        <w:gridCol w:w="692"/>
        <w:gridCol w:w="149"/>
        <w:gridCol w:w="109"/>
        <w:gridCol w:w="109"/>
        <w:gridCol w:w="109"/>
        <w:gridCol w:w="600"/>
        <w:gridCol w:w="600"/>
        <w:gridCol w:w="855"/>
      </w:tblGrid>
      <w:tr>
        <w:trPr/>
        <w:tc>
          <w:tcPr>
            <w:tcW w:w="8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br/>
              <w:t>Underlying</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Expiration Date</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9/24/2030</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Private Placement Warrants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9/24/2030</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Assumed Kodiak Warrants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12/31/2028, 6/30/2031</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outstanding</w:t>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Public and Private Placement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Public warrants became exercisable on October 24, 2025. The Company may redeem the Public Warrants if the last reported sales price of Kodiak common stock equals or exceeds $18.00 per share for any 20 trading days within a 30-trading day period ending on the third trading day prior to the date on which the Company provides notice of redemption to the warrant holders. Redemption may be redeemed only in full, not in part, and requires a minimum of 30 days’ prior written notice. Once exercisable, the Public Warrants may be redeemed by the Company at a redemption price of $0.01 per warrant.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21, 2025, the Company notified the holders of its Public Warrants and Private Placement Warrants of the following adjustments as a result of down-round provisions being triggered in connection with the Merger and the Company’s reported sales price of its common stock pursuant to the terms of the agreement (i) an adjustment to the exercise price from the original exercise price of $11.50 per share to $9.28 per share of common stock, and (ii) an adjustment of the $18.00 per share redemption trigger to $14.53 per share of common stock. The volume-weighted average trading price of the common stock during the 20-trading day period starting on the trading day prior to the day on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474345"/>
                <wp:effectExtent l="0" t="0" r="0" b="0"/>
                <wp:wrapNone/>
                <wp:docPr id="105" name="Frame101"/>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consummated the Merger (such price, the “Market Value”) was determined to be $8.07 per share. Accordingly, the revised exercise and redemption prices reflect 115% and 180% of the Market Value, respectively.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Private Placement Warrants are substantially identical to the Public Warrants, except that they are not transferable, assignable, or salable until 30 days following the Closing, subject to certain limited exceptions. In addition, the Private Placement Warrants are exercisable on a cashless basis and are non-redeemable.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may require a cashless exercise of the Public Warrants upon redemption. The exercise price and number of shares of common stock are subject to adjustment for certain corporate events, such as share dividends, recapitalizations, and mergers. The warrants are not adjusted for common stock issued below the exercise price, and the Company is not obligated to net cash settle them. The warrants are equity-classified because they are indexed to the Company’s common stock and the number of shares of common stock issuable upon exercise is not based on a fixed monetary amount.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Assumed Kodiak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Merger, each outstanding and unexercised Legacy Kodiak warrant was converted into an Assumed Kodiak Warrant. Upon the Closing Date, the Assumed Kodiak Warrants were remeasured to fair value and reclassified from liability to equity (see Note 5). The warrants met the conditions for equity classification because they are indexed to the Company's common stock and provide for the issuance of a fixed number of shares upon exercise. The warrants do not contain any mandatory redemption features requiring settlement in cash or other assets.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Legacy Kodiak Common Stock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issued common stock warrants in connection with entering into advisory and services agreements as well as debt arrangements, which all met the conditions for equity classification. Prior to the Merger, each issued, outstanding and unexercised warrant was net exercised in exchange for shares of Legacy Kodiak common stock in accordance with its contractual terms and was converted into 933,626 shares of Kodiak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14. Stock-based Compensation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Legacy Kodiak 2018 Equity Incentive Plan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Prior to the Merger, the Company granted stock-based awards under its 2018 equity incentive plan (the “2018 Plan”), including restricted stock and incentive or nonqualified stock options to employees, directors, and service providers. As of the Closing, the 2018 Plan was replaced by the Kodiak 2025 Equity Incentive Plan (the “2025 EIP”), and no further awards may be granted under the 2018 Plan.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2018 Plan continues to govern the terms of all outstanding awards granted thereunder. Outstanding options generally have a contractual term of 10 years (five years for 10% stockholders) and a four-year vesting schedule, typically consisting of a one-year cliff followed by monthly vesting thereafter.</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2025 Equity Incentive Plan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September 23, 2025, the Company's stockholders approved and adopted the 2025 EIP. The 2025 EIP authorizes the issuance of up to 28,195,000 shares of Kodiak common stock, plus up to 56,100,142 additional shares of Kodiak common stock that may become available from awards granted under the 2018 Plan that are forfeited, cancelled, expired, withheld to cover taxes or exercise prices, or otherwise terminated. The 2025 Plan replaced the 2018 Plan, which expired as to future grants as of the Closing.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RSUs granted under the 2025 EIP generally have an approximately four-year vesting schedule, typically consisting of a one-year cliff for new hire grants and a six-month cliff for subsequent awards to existing employees, followed by quarterly vesting thereafter. As of December 31, 2025, 25,709,273 shares of the Company's common stock were available for future grant under the 2025 EIP.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474345"/>
                <wp:effectExtent l="0" t="0" r="0" b="0"/>
                <wp:wrapNone/>
                <wp:docPr id="106" name="Frame102"/>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Beginning in 2026, the 2025 EIP also provides for an annual automatic increase in the share reserve equal to the least of (i) 56,390,000 shares of Kodiak common stock, (ii) 5% of the total number of outstanding shares of Kodiak common stock as of the last day of the preceding fiscal year, or (iii) a lesser number determined by the administrator. Awards that may be granted under the 2025 EIP include stock options, stock appreciation rights, restricted stock, restricted stock units, and performance awards to employees, directors and consultants of Kodiak and employees and consultants.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2025 Employee Stock Purchase Plan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23, 2025, the Company's stockholders approved and adopted the Kodiak 2025 Employee Stock Purchase Plan (the “ESPP”). The ESPP authorizes the issuance of shares of Kodiak common stock pursuant to purchase rights granted to eligible employees. Under the ESPP, 5,639,000 shares of Kodiak common stock are reserved for future issuance. The purchase price for each share during an offering period will be the lesser of 85% of the fair market value of the share on the purchase date or 85% of the fair market value of the share on the offering date. The offering dates and purchase dates for the ESPP are determined at the discretion of the Company’s board of directors. As of December 31, 2025, the Company had not commenced its ESPP.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number of shares available for issuance under the ESPP will automatically increase on the first day of each fiscal year beginning with fiscal year 2026, by the least of (i) 11,280,000 shares of Kodiak common stock, (ii) 1% of the total number of shares of all classes of Kodiak common stock outstanding on the last day of the immediately preceding fiscal year, or (iii) such lesser number of shares as may be determined by the plan administrator prior to the first day of the applicable fiscal year. Shares issued under the ESPP may be authorized but unissued shares or treasury shares.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Stock Option Activity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Stock option activity under the Company’s equity incentive plan was as follows:</w:t>
      </w:r>
    </w:p>
    <w:tbl>
      <w:tblPr>
        <w:tblW w:w="10205" w:type="dxa"/>
        <w:jc w:val="center"/>
        <w:tblInd w:w="0" w:type="dxa"/>
        <w:tblLayout w:type="fixed"/>
        <w:tblCellMar>
          <w:top w:w="28" w:type="dxa"/>
          <w:left w:w="28" w:type="dxa"/>
          <w:bottom w:w="28" w:type="dxa"/>
          <w:right w:w="28" w:type="dxa"/>
        </w:tblCellMar>
      </w:tblPr>
      <w:tblGrid>
        <w:gridCol w:w="784"/>
        <w:gridCol w:w="688"/>
        <w:gridCol w:w="692"/>
        <w:gridCol w:w="389"/>
        <w:gridCol w:w="389"/>
        <w:gridCol w:w="390"/>
        <w:gridCol w:w="109"/>
        <w:gridCol w:w="109"/>
        <w:gridCol w:w="109"/>
        <w:gridCol w:w="440"/>
        <w:gridCol w:w="1069"/>
        <w:gridCol w:w="231"/>
        <w:gridCol w:w="109"/>
        <w:gridCol w:w="109"/>
        <w:gridCol w:w="109"/>
        <w:gridCol w:w="843"/>
        <w:gridCol w:w="843"/>
        <w:gridCol w:w="845"/>
        <w:gridCol w:w="109"/>
        <w:gridCol w:w="109"/>
        <w:gridCol w:w="109"/>
        <w:gridCol w:w="285"/>
        <w:gridCol w:w="1121"/>
        <w:gridCol w:w="215"/>
      </w:tblGrid>
      <w:tr>
        <w:trPr/>
        <w:tc>
          <w:tcPr>
            <w:tcW w:w="78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Options Outstanding</w:t>
            </w:r>
          </w:p>
        </w:tc>
      </w:tr>
      <w:tr>
        <w:trPr/>
        <w:tc>
          <w:tcPr>
            <w:tcW w:w="2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 of Options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Weighted-Average Remaining Contractual Life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Aggregate Intrinsic Value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11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1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500,376 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December 31, 2025</w:t>
            </w:r>
          </w:p>
        </w:tc>
        <w:tc>
          <w:tcPr>
            <w:tcW w:w="116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351,119 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in the above table is calculated as the difference between the exercise price of the underlying stock options and the Company’s fair value of its common stock as of the balance sheet date.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weighted-average grant-date fair value per share of stock options granted during the years ended December 31, 2025, 2024, and 2023 was $6.11 ,$0.64 and $0.41 per share, respectively. The total grant-date fair value of stock options that vested during the years ended December 31, 2025, 2024, and 2023 was $10.7 million, $3.3 million and $1.9 million, respectively. As of December 31, 2025, total unrecognized compensation expense related to unvested options was $63.1 million, which the Company expects to recognize over an estimated weighted-average period of 2.9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474345"/>
                <wp:effectExtent l="0" t="0" r="0" b="0"/>
                <wp:wrapNone/>
                <wp:docPr id="107" name="Frame103"/>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Fair Value of Stock Options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fair value of stock options granted was estimated at the grant-date using the Black-Scholes option-pricing model using the following assumptions:</w:t>
      </w:r>
    </w:p>
    <w:tbl>
      <w:tblPr>
        <w:tblW w:w="6216" w:type="dxa"/>
        <w:jc w:val="center"/>
        <w:tblInd w:w="0" w:type="dxa"/>
        <w:tblLayout w:type="fixed"/>
        <w:tblCellMar>
          <w:top w:w="28" w:type="dxa"/>
          <w:left w:w="28" w:type="dxa"/>
          <w:bottom w:w="28" w:type="dxa"/>
          <w:right w:w="28" w:type="dxa"/>
        </w:tblCellMar>
      </w:tblPr>
      <w:tblGrid>
        <w:gridCol w:w="772"/>
        <w:gridCol w:w="677"/>
        <w:gridCol w:w="680"/>
        <w:gridCol w:w="432"/>
        <w:gridCol w:w="432"/>
        <w:gridCol w:w="440"/>
        <w:gridCol w:w="132"/>
        <w:gridCol w:w="132"/>
        <w:gridCol w:w="132"/>
        <w:gridCol w:w="432"/>
        <w:gridCol w:w="432"/>
        <w:gridCol w:w="440"/>
        <w:gridCol w:w="132"/>
        <w:gridCol w:w="132"/>
        <w:gridCol w:w="132"/>
        <w:gridCol w:w="203"/>
        <w:gridCol w:w="203"/>
        <w:gridCol w:w="281"/>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84.2% - 91.1%</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87.0% - 91.9%</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59.4%</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3.9 - 6.1</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5.1 - 6.1</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3.8% - 4.5%</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3.6% - 4.3%</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Stock Option Modification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16, 2025, the Company agreed to accelerate certain unvested stock option awards and extend the post-termination exercise period for one such award in connection with the departure of a company officer. The modification resulted in total incremental expense of $3.2 million, of which $3.0 million was recognized as stock-based compensation for the year ended December 31, 2025.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RSUs activity under the Company's equity incentive plan was as follows:</w:t>
      </w:r>
    </w:p>
    <w:tbl>
      <w:tblPr>
        <w:tblW w:w="8222" w:type="dxa"/>
        <w:jc w:val="center"/>
        <w:tblInd w:w="0" w:type="dxa"/>
        <w:tblLayout w:type="fixed"/>
        <w:tblCellMar>
          <w:top w:w="28" w:type="dxa"/>
          <w:left w:w="28" w:type="dxa"/>
          <w:bottom w:w="28" w:type="dxa"/>
          <w:right w:w="28" w:type="dxa"/>
        </w:tblCellMar>
      </w:tblPr>
      <w:tblGrid>
        <w:gridCol w:w="1147"/>
        <w:gridCol w:w="1006"/>
        <w:gridCol w:w="1012"/>
        <w:gridCol w:w="439"/>
        <w:gridCol w:w="439"/>
        <w:gridCol w:w="441"/>
        <w:gridCol w:w="156"/>
        <w:gridCol w:w="156"/>
        <w:gridCol w:w="156"/>
        <w:gridCol w:w="788"/>
        <w:gridCol w:w="1908"/>
        <w:gridCol w:w="57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Unvested RSUs Outstanding</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 of RSUs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Weighted–Average Grant-Date Fair Value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2,624</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3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2,622</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5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December 31, 2025, total unrecognized compensation expense related to unvested RSUs was $14.9 million, which the Company expects to recognize over an estimated weighted-average period of 4.1 years.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recorded in the Company’s consolidated statements of operations and comprehensive loss was as follows (in thousands):</w:t>
      </w:r>
    </w:p>
    <w:tbl>
      <w:tblPr>
        <w:tblW w:w="7636" w:type="dxa"/>
        <w:jc w:val="center"/>
        <w:tblInd w:w="0" w:type="dxa"/>
        <w:tblLayout w:type="fixed"/>
        <w:tblCellMar>
          <w:top w:w="28" w:type="dxa"/>
          <w:left w:w="28" w:type="dxa"/>
          <w:bottom w:w="28" w:type="dxa"/>
          <w:right w:w="28" w:type="dxa"/>
        </w:tblCellMar>
      </w:tblPr>
      <w:tblGrid>
        <w:gridCol w:w="995"/>
        <w:gridCol w:w="872"/>
        <w:gridCol w:w="877"/>
        <w:gridCol w:w="109"/>
        <w:gridCol w:w="109"/>
        <w:gridCol w:w="109"/>
        <w:gridCol w:w="147"/>
        <w:gridCol w:w="147"/>
        <w:gridCol w:w="147"/>
        <w:gridCol w:w="147"/>
        <w:gridCol w:w="285"/>
        <w:gridCol w:w="974"/>
        <w:gridCol w:w="147"/>
        <w:gridCol w:w="109"/>
        <w:gridCol w:w="109"/>
        <w:gridCol w:w="109"/>
        <w:gridCol w:w="211"/>
        <w:gridCol w:w="616"/>
        <w:gridCol w:w="109"/>
        <w:gridCol w:w="109"/>
        <w:gridCol w:w="109"/>
        <w:gridCol w:w="109"/>
        <w:gridCol w:w="211"/>
        <w:gridCol w:w="616"/>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2571" w:type="dxa"/>
            <w:gridSpan w:val="12"/>
            <w:tcBorders/>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Truck and freight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19,082 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Stock-based compensation included in capitalized equipment and construction in progress costs was approximately $0.4 million as of December 31, 2025, and was not material as of December 31,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474345"/>
                <wp:effectExtent l="0" t="0" r="0" b="0"/>
                <wp:wrapNone/>
                <wp:docPr id="108" name="Frame104"/>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15. Revenues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revenues are primarily derived from (i) providing DaaS to customers, (ii) delivering freight via Kodiak-owned autonomous trucks powered by the Kodiak Driver, and (iii) providing ground autonomy solutions to the U.S. military. The Company recognizes revenue when customers obtain control of promised services in an amount that reflects the consideration the Company expects to receive for those services.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Disaggregation of Revenues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revenues were generated from customers located in the U.S. For the year ended December 31, 2025, revenues were composed of 46% from DaaS and 26% from Ground Autonomy Solutions. For the years ended December 31, 2024 and 2023, Ground Autonomy Solutions represented 89% of revenues. The remaining revenues for all periods presented were related to freight delivery.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contracts with a duration of one year or more consisted entirely of a DaaS contract as of December 31, 2025. The aggregate amount of the transaction price allocated to unsatisfied performance obligations was $21.8 million as of December 31, 2025, which is expected to be recognized ratably for each DaaS contract and through December 2029.</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0" w:after="360"/>
        <w:jc w:val="left"/>
        <w:rPr/>
      </w:pPr>
      <w:r>
        <w:rPr>
          <w:rFonts w:ascii="Times New Roman;serif" w:hAnsi="Times New Roman;serif"/>
          <w:b w:val="false"/>
          <w:color w:val="000000"/>
          <w:sz w:val="20"/>
        </w:rPr>
        <w:t xml:space="preserve">As of December 31, 2025 and 2024, the Company did not have any material amounts related to unbilled receivables or contract assets. The Company's contract liabilities were $0.7 million as of December 31, 2025 and were not material as of December 31, 2024. Contract liabilities were included in </w:t>
      </w:r>
      <w:r>
        <w:rPr>
          <w:rFonts w:ascii="Times New Roman;serif" w:hAnsi="Times New Roman;serif"/>
          <w:b w:val="false"/>
          <w:i/>
          <w:color w:val="000000"/>
          <w:sz w:val="20"/>
        </w:rPr>
        <w:t>accrued expenses and other current liabilities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other liabilities</w:t>
      </w:r>
      <w:r>
        <w:rPr>
          <w:color w:val="000000"/>
        </w:rPr>
        <w:t xml:space="preserve"> </w:t>
      </w:r>
      <w:r>
        <w:rPr>
          <w:rFonts w:ascii="Times New Roman;serif" w:hAnsi="Times New Roman;serif"/>
          <w:b w:val="false"/>
          <w:color w:val="000000"/>
          <w:sz w:val="20"/>
        </w:rPr>
        <w:t>on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16. Income Taxes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Income Taxes and Rate Reconciliation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is subject to U.S. federal and state corporate income taxes. For the years ended December 31, 2025, 2024, and 2023, net loss before income taxes was generated in the U.S.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Income taxes consisted of the following for the periods presented (in thousands):</w:t>
      </w:r>
    </w:p>
    <w:tbl>
      <w:tblPr>
        <w:tblW w:w="4062" w:type="dxa"/>
        <w:jc w:val="center"/>
        <w:tblInd w:w="0" w:type="dxa"/>
        <w:tblLayout w:type="fixed"/>
        <w:tblCellMar>
          <w:top w:w="28" w:type="dxa"/>
          <w:left w:w="28" w:type="dxa"/>
          <w:bottom w:w="28" w:type="dxa"/>
          <w:right w:w="28" w:type="dxa"/>
        </w:tblCellMar>
      </w:tblPr>
      <w:tblGrid>
        <w:gridCol w:w="428"/>
        <w:gridCol w:w="376"/>
        <w:gridCol w:w="381"/>
        <w:gridCol w:w="211"/>
        <w:gridCol w:w="406"/>
        <w:gridCol w:w="109"/>
        <w:gridCol w:w="109"/>
        <w:gridCol w:w="109"/>
        <w:gridCol w:w="109"/>
        <w:gridCol w:w="211"/>
        <w:gridCol w:w="406"/>
        <w:gridCol w:w="109"/>
        <w:gridCol w:w="109"/>
        <w:gridCol w:w="109"/>
        <w:gridCol w:w="109"/>
        <w:gridCol w:w="211"/>
        <w:gridCol w:w="406"/>
        <w:gridCol w:w="154"/>
      </w:tblGrid>
      <w:tr>
        <w:trPr/>
        <w:tc>
          <w:tcPr>
            <w:tcW w:w="42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474345"/>
                <wp:effectExtent l="0" t="0" r="0" b="0"/>
                <wp:wrapNone/>
                <wp:docPr id="109" name="Frame105"/>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68" w:before="0" w:after="120"/>
        <w:jc w:val="left"/>
        <w:rPr>
          <w:rFonts w:ascii="Times New Roman;serif" w:hAnsi="Times New Roman;serif"/>
          <w:b w:val="false"/>
          <w:color w:val="000000"/>
          <w:sz w:val="20"/>
        </w:rPr>
      </w:pPr>
      <w:r>
        <w:rPr>
          <w:rFonts w:ascii="Times New Roman;serif" w:hAnsi="Times New Roman;serif"/>
          <w:b w:val="false"/>
          <w:color w:val="000000"/>
          <w:sz w:val="20"/>
        </w:rPr>
        <w:t>The U.S. federal statutory rate is reconciled to the Company's effective income tax rate for the year ended December 31, 2025 after the adoption of ASU 2023-09 as follows (in thousands):</w:t>
      </w:r>
    </w:p>
    <w:tbl>
      <w:tblPr>
        <w:tblW w:w="5656" w:type="dxa"/>
        <w:jc w:val="center"/>
        <w:tblInd w:w="0" w:type="dxa"/>
        <w:tblLayout w:type="fixed"/>
        <w:tblCellMar>
          <w:top w:w="28" w:type="dxa"/>
          <w:left w:w="28" w:type="dxa"/>
          <w:bottom w:w="28" w:type="dxa"/>
          <w:right w:w="28" w:type="dxa"/>
        </w:tblCellMar>
      </w:tblPr>
      <w:tblGrid>
        <w:gridCol w:w="1123"/>
        <w:gridCol w:w="988"/>
        <w:gridCol w:w="994"/>
        <w:gridCol w:w="211"/>
        <w:gridCol w:w="901"/>
        <w:gridCol w:w="109"/>
        <w:gridCol w:w="109"/>
        <w:gridCol w:w="109"/>
        <w:gridCol w:w="109"/>
        <w:gridCol w:w="291"/>
        <w:gridCol w:w="294"/>
        <w:gridCol w:w="418"/>
      </w:tblGrid>
      <w:tr>
        <w:trPr/>
        <w:tc>
          <w:tcPr>
            <w:tcW w:w="11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br/>
              <w:t>December 31, 2025</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statutory rate, benefit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 net of benefit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 credits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unrecognized tax benefits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12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effective income tax rate reconciliation for the years ended December 31, 2024 and 2023, in accordance with the guidance prior to the adoption of ASU 2023-09 (in thousands):</w:t>
      </w:r>
    </w:p>
    <w:tbl>
      <w:tblPr>
        <w:tblW w:w="5408" w:type="dxa"/>
        <w:jc w:val="center"/>
        <w:tblInd w:w="0" w:type="dxa"/>
        <w:tblLayout w:type="fixed"/>
        <w:tblCellMar>
          <w:top w:w="28" w:type="dxa"/>
          <w:left w:w="28" w:type="dxa"/>
          <w:bottom w:w="28" w:type="dxa"/>
          <w:right w:w="28" w:type="dxa"/>
        </w:tblCellMar>
      </w:tblPr>
      <w:tblGrid>
        <w:gridCol w:w="1014"/>
        <w:gridCol w:w="893"/>
        <w:gridCol w:w="897"/>
        <w:gridCol w:w="211"/>
        <w:gridCol w:w="796"/>
        <w:gridCol w:w="109"/>
        <w:gridCol w:w="109"/>
        <w:gridCol w:w="109"/>
        <w:gridCol w:w="109"/>
        <w:gridCol w:w="211"/>
        <w:gridCol w:w="796"/>
        <w:gridCol w:w="154"/>
      </w:tblGrid>
      <w:tr>
        <w:trPr/>
        <w:tc>
          <w:tcPr>
            <w:tcW w:w="101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Federal statutory rate, benefit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State income taxes, net of benefit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Nondeductible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R&amp;D credits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expense for income taxes in the table above related to continuing operations differs from the amounts computed by applying the statutory income tax rate of 21% due to a pretax loss in each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474345"/>
                <wp:effectExtent l="0" t="0" r="0" b="0"/>
                <wp:wrapNone/>
                <wp:docPr id="110" name="Frame106"/>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Deferred Income Taxes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components of net deferred tax assets were as follows for the periods presented (in thousands):</w:t>
      </w:r>
    </w:p>
    <w:tbl>
      <w:tblPr>
        <w:tblW w:w="6773" w:type="dxa"/>
        <w:jc w:val="center"/>
        <w:tblInd w:w="0" w:type="dxa"/>
        <w:tblLayout w:type="fixed"/>
        <w:tblCellMar>
          <w:top w:w="28" w:type="dxa"/>
          <w:left w:w="28" w:type="dxa"/>
          <w:bottom w:w="28" w:type="dxa"/>
          <w:right w:w="28" w:type="dxa"/>
        </w:tblCellMar>
      </w:tblPr>
      <w:tblGrid>
        <w:gridCol w:w="1566"/>
        <w:gridCol w:w="1374"/>
        <w:gridCol w:w="1379"/>
        <w:gridCol w:w="211"/>
        <w:gridCol w:w="721"/>
        <w:gridCol w:w="109"/>
        <w:gridCol w:w="109"/>
        <w:gridCol w:w="109"/>
        <w:gridCol w:w="109"/>
        <w:gridCol w:w="211"/>
        <w:gridCol w:w="721"/>
        <w:gridCol w:w="154"/>
      </w:tblGrid>
      <w:tr>
        <w:trPr/>
        <w:tc>
          <w:tcPr>
            <w:tcW w:w="156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Charitable contributions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research and development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Section 195 capitalization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deferred tax assets, net of valuation allowance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determines its valuation allowance on deferred tax assets by considering whether it is more likely than not that deferred tax assets will be realized. Due to the Company’s history of operating losses, the Company’s deferred tax assets are not likely to be realized and, accordingly, the Company has provided a full valuation allowance on its deferred tax assets. The valuation allowance increased by $30.0 million and $20.4 million for the years ended December 31, 2025 and 2024, respectively, primarily due to the increase in the Company’s U.S. and state net operating losses (“NOL”) carryforwards and tax credit carryforwards.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Available Carryforwards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December 31, 2025, NOLs and tax credit carryforwards were as follows (in millions):</w:t>
      </w:r>
    </w:p>
    <w:tbl>
      <w:tblPr>
        <w:tblW w:w="6497" w:type="dxa"/>
        <w:jc w:val="center"/>
        <w:tblInd w:w="0" w:type="dxa"/>
        <w:tblLayout w:type="fixed"/>
        <w:tblCellMar>
          <w:top w:w="28" w:type="dxa"/>
          <w:left w:w="28" w:type="dxa"/>
          <w:bottom w:w="28" w:type="dxa"/>
          <w:right w:w="28" w:type="dxa"/>
        </w:tblCellMar>
      </w:tblPr>
      <w:tblGrid>
        <w:gridCol w:w="1386"/>
        <w:gridCol w:w="1224"/>
        <w:gridCol w:w="1230"/>
        <w:gridCol w:w="211"/>
        <w:gridCol w:w="616"/>
        <w:gridCol w:w="109"/>
        <w:gridCol w:w="109"/>
        <w:gridCol w:w="109"/>
        <w:gridCol w:w="109"/>
        <w:gridCol w:w="407"/>
        <w:gridCol w:w="407"/>
        <w:gridCol w:w="580"/>
      </w:tblGrid>
      <w:tr>
        <w:trPr/>
        <w:tc>
          <w:tcPr>
            <w:tcW w:w="138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Expiration Years</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NOLs, federal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NOLs, 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2039</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credits, federal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2039</w:t>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credits, 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federal and state NOL carryforwards may be subject to significant limitations under Sections 382 and 383 of the Internal Revenue Code of 1986, as amended, and similar provisions under state law. These provisions limit the amount of NOL carryforwards that may be utilized in any given year in the event of certain circumstances, including significant changes in ownership.</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Uncertain Tax Positions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balance of total gross unrecognized tax benefits was as follows for the periods presented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474345"/>
                <wp:effectExtent l="0" t="0" r="0" b="0"/>
                <wp:wrapNone/>
                <wp:docPr id="111" name="Frame107"/>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8019" w:type="dxa"/>
        <w:jc w:val="center"/>
        <w:tblInd w:w="0" w:type="dxa"/>
        <w:tblLayout w:type="fixed"/>
        <w:tblCellMar>
          <w:top w:w="28" w:type="dxa"/>
          <w:left w:w="28" w:type="dxa"/>
          <w:bottom w:w="28" w:type="dxa"/>
          <w:right w:w="28" w:type="dxa"/>
        </w:tblCellMar>
      </w:tblPr>
      <w:tblGrid>
        <w:gridCol w:w="2092"/>
        <w:gridCol w:w="1839"/>
        <w:gridCol w:w="1844"/>
        <w:gridCol w:w="211"/>
        <w:gridCol w:w="616"/>
        <w:gridCol w:w="109"/>
        <w:gridCol w:w="109"/>
        <w:gridCol w:w="109"/>
        <w:gridCol w:w="109"/>
        <w:gridCol w:w="211"/>
        <w:gridCol w:w="616"/>
        <w:gridCol w:w="154"/>
      </w:tblGrid>
      <w:tr>
        <w:trPr/>
        <w:tc>
          <w:tcPr>
            <w:tcW w:w="2092"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 of unrecognized tax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increases based on tax positions related to current year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increases (decrease) based on tax positions related to prior years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 of unrecognized tax benefits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no material interest and penalties related to unrecognized tax benefits were recognized. The Company is subject to taxation in the United States and various state jurisdictions. All tax years are open for examination. The Company currently has no federal or state tax examinations in progress.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17. Net Loss Per Common Share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computation of basic and diluted net loss per common share (in thousands, except per share amounts):</w:t>
      </w:r>
    </w:p>
    <w:tbl>
      <w:tblPr>
        <w:tblW w:w="10205" w:type="dxa"/>
        <w:jc w:val="center"/>
        <w:tblInd w:w="0" w:type="dxa"/>
        <w:tblLayout w:type="fixed"/>
        <w:tblCellMar>
          <w:top w:w="28" w:type="dxa"/>
          <w:left w:w="28" w:type="dxa"/>
          <w:bottom w:w="28" w:type="dxa"/>
          <w:right w:w="28" w:type="dxa"/>
        </w:tblCellMar>
      </w:tblPr>
      <w:tblGrid>
        <w:gridCol w:w="1811"/>
        <w:gridCol w:w="1590"/>
        <w:gridCol w:w="1605"/>
        <w:gridCol w:w="109"/>
        <w:gridCol w:w="109"/>
        <w:gridCol w:w="109"/>
        <w:gridCol w:w="128"/>
        <w:gridCol w:w="128"/>
        <w:gridCol w:w="128"/>
        <w:gridCol w:w="128"/>
        <w:gridCol w:w="249"/>
        <w:gridCol w:w="1059"/>
        <w:gridCol w:w="128"/>
        <w:gridCol w:w="109"/>
        <w:gridCol w:w="109"/>
        <w:gridCol w:w="109"/>
        <w:gridCol w:w="211"/>
        <w:gridCol w:w="789"/>
        <w:gridCol w:w="109"/>
        <w:gridCol w:w="109"/>
        <w:gridCol w:w="109"/>
        <w:gridCol w:w="109"/>
        <w:gridCol w:w="211"/>
        <w:gridCol w:w="789"/>
        <w:gridCol w:w="161"/>
      </w:tblGrid>
      <w:tr>
        <w:trPr/>
        <w:tc>
          <w:tcPr>
            <w:tcW w:w="1811"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2924" w:type="dxa"/>
            <w:gridSpan w:val="12"/>
            <w:tcBorders/>
          </w:tcPr>
          <w:p>
            <w:pPr>
              <w:pStyle w:val="TableContents"/>
              <w:bidi w:val="0"/>
              <w:spacing w:before="0" w:after="283"/>
              <w:jc w:val="left"/>
              <w:rPr>
                <w:sz w:val="4"/>
                <w:szCs w:val="4"/>
              </w:rPr>
            </w:pPr>
            <w:r>
              <w:rPr>
                <w:sz w:val="4"/>
                <w:szCs w:val="4"/>
              </w:rPr>
            </w:r>
          </w:p>
        </w:tc>
      </w:tr>
      <w:tr>
        <w:trPr/>
        <w:tc>
          <w:tcPr>
            <w:tcW w:w="5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(585,525)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(56,945)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57,932</w:t>
            </w:r>
          </w:p>
        </w:tc>
      </w:tr>
      <w:tr>
        <w:trPr/>
        <w:tc>
          <w:tcPr>
            <w:tcW w:w="5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 per common share,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1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(0.98)</w:t>
            </w:r>
          </w:p>
        </w:tc>
        <w:tc>
          <w:tcPr>
            <w:tcW w:w="1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potentially dilutive common stock equivalents were excluded from the computation of diluted net loss per share for the periods presented because including them would have been antidilutive (in thousands):</w:t>
      </w:r>
    </w:p>
    <w:tbl>
      <w:tblPr>
        <w:tblW w:w="7245" w:type="dxa"/>
        <w:jc w:val="center"/>
        <w:tblInd w:w="0" w:type="dxa"/>
        <w:tblLayout w:type="fixed"/>
        <w:tblCellMar>
          <w:top w:w="28" w:type="dxa"/>
          <w:left w:w="28" w:type="dxa"/>
          <w:bottom w:w="28" w:type="dxa"/>
          <w:right w:w="28" w:type="dxa"/>
        </w:tblCellMar>
      </w:tblPr>
      <w:tblGrid>
        <w:gridCol w:w="1469"/>
        <w:gridCol w:w="1293"/>
        <w:gridCol w:w="1303"/>
        <w:gridCol w:w="258"/>
        <w:gridCol w:w="258"/>
        <w:gridCol w:w="265"/>
        <w:gridCol w:w="132"/>
        <w:gridCol w:w="132"/>
        <w:gridCol w:w="132"/>
        <w:gridCol w:w="258"/>
        <w:gridCol w:w="258"/>
        <w:gridCol w:w="265"/>
        <w:gridCol w:w="132"/>
        <w:gridCol w:w="132"/>
        <w:gridCol w:w="132"/>
        <w:gridCol w:w="240"/>
        <w:gridCol w:w="240"/>
        <w:gridCol w:w="346"/>
      </w:tblGrid>
      <w:tr>
        <w:trPr/>
        <w:tc>
          <w:tcPr>
            <w:tcW w:w="146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65,226</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options</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55,438</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49,157</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42,630</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14,597</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62,240</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62,240</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 warrants</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1,305</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1,305</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135,261</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113,012</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106,651</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74,998,317 shares and 6,250,000 shares of common stock equivalent subject to the remaining Earn Out Securities and Sponsor Earn Out Securities, respectively, are excluded from the anti-dilutive table above as of December 31, 2025 as the underlying shares remain contingently issuable as the triggering events have not been satisfied (see Note 3).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Excluded from common stock warrants in the anti-dilutive table above as of December 31, 2024 and 2023 were those warrants with a nominal exercise price, which were included in the computation of basic and diluted net loss per share on the date all necessary conditions were satisfied for issuance, which was from the date any service based vesting conditions were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18. Segment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one operating and reportable segment related to the development of autonomous vehicle technology and related services that can be applied at scale across a broad range of industries and environments. Factors used in determining the reportable segment include the nature of the Company’s activities, the organizational and reporting structure and the type of information reviewed by the CODM, its chief executive officer, to allocate resources and evaluate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474345"/>
                <wp:effectExtent l="0" t="0" r="0" b="0"/>
                <wp:wrapNone/>
                <wp:docPr id="112" name="Frame108"/>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financial performance. Net loss is the key measure of segment profit and loss that the CODM uses to allocate resources and assess performance. The CODM uses net loss to evaluate the Company’s expenditures and monitor budget-to-actual results. The CODM considers budget-to-actual variances and available cash when making decisions about the allocation of resources across the organization.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Significant expenses within net loss include research and development, general and administrative, truck and freight operations and sales and marketing, which are separately presented on the Company’s consolidated statements of operations and comprehensive loss. The Company’s long-lived assets are located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474345"/>
                <wp:effectExtent l="0" t="0" r="0" b="0"/>
                <wp:wrapNone/>
                <wp:docPr id="113" name="Frame109"/>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6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have evaluated the effectiveness of our disclosure controls and procedures (as defined in Rules 13a-15(e) and 15d-15(e) under the Exchange Act) as of the end of the period covered by this Annual Report. Our disclosure controls and procedures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as appropriate, to allow timely decisions regarding required disclosure. Management recognizes that any controls and procedures, regardless of how well they were designed and are operating,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Annual Report, our Chief Executive Officer and Chief Financial Officer have concluded that, as of such date, our disclosure controls and procedures were effective.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Management’s Annual Report on Internal Control Over Financial Reporting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(“ICFR”), as defined in Rule 13a-15(f) and 15d-15(f) under the Exchange Act. Internal control over financial reporting is a process designed to provide reasonable assurance regarding the reliability of our financial reporting and the preparation of consolidated financial statements for external purposes in accordance with generally accepted accounting principles.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assessed the effectiveness of our internal control over financial reporting as of December 31, 2025 based on the 2013 framework established in the “Internal Control-Integrated Framework,” issued by the Committee of Sponsoring Organizations of the Treadway Commission. Based on such assessment, management has concluded that our internal control over financial reporting was effective as of December 31,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Annual Report on Form 10-K does not include an attestation report of our independent registered public accounting firm regarding ICFR. Management’s report was not subject to attestation by our independent registered public accounting firm pursuant to the provisions of the Jumpstart Our Business Startups Act, which exempts emerging growth companies from the auditor attestation requirement of Section 404(b) of the Sarbanes-Oxley Act.</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identified in connection with the evaluation required by Rule 13a-15(f) or 15d-15(f) of the Exchange Act during the period covered by this Annual Report, that have materially affected, or are reasonably likely to materially affect, our internal control over financial reporting.</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 not expect that our disclosure controls and procedures or our internal controls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misstatements, errors, and instances of fraud, if any, within our company have been or will be prevented or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Rule 10b5-1 Trading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474345"/>
                <wp:effectExtent l="0" t="0" r="0" b="0"/>
                <wp:wrapNone/>
                <wp:docPr id="114" name="Frame110"/>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360"/>
        <w:ind w:left="0" w:right="0" w:firstLine="504"/>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quarter ended December 31, 2025, no director or officer, as defined in Rule 16a-1(f), adopted or terminated a “Rule 10b5-1 trading arrangement” or a “non-Rule 10b5-1 trading arrangement,” each as defined in Regulation S-K Item 408.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36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Board Composition </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Kodiak’s business and affairs are organized under the direction of our Board. Our Board consists of seven members, with James Reed serving as Chair. The primary responsibilities of our Board are to provide oversight, strategic guidance, counseling and direction to Kodiak’s management. Our Board meets on a regular basis and additionally as required. </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the terms of our Bylaws, each director, including a director elected to fill a vacancy, shall hold office until the expiration of the term for which elected and until such director’s successor is elected and qualified or until such director’s earlier death, resignation or removal. </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For so long as our Board is classified and subject to the rights of the holders of our preferred stock, any director may be removed from office only for cause and only by the affirmative vote of the holders of a majority of the total voting power of all then-outstanding shares of Kodiak entitled to vote in the election of directors, voting as a single class. </w:t>
      </w:r>
    </w:p>
    <w:p>
      <w:pPr>
        <w:pStyle w:val="TextBody"/>
        <w:bidi w:val="0"/>
        <w:spacing w:lineRule="auto" w:line="26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names, ages, and certain other information regarding our directors as of January 31, 2026 are set forth below: </w:t>
      </w:r>
    </w:p>
    <w:tbl>
      <w:tblPr>
        <w:tblW w:w="8626" w:type="dxa"/>
        <w:jc w:val="center"/>
        <w:tblInd w:w="0" w:type="dxa"/>
        <w:tblLayout w:type="fixed"/>
        <w:tblCellMar>
          <w:top w:w="28" w:type="dxa"/>
          <w:left w:w="28" w:type="dxa"/>
          <w:bottom w:w="28" w:type="dxa"/>
          <w:right w:w="28" w:type="dxa"/>
        </w:tblCellMar>
      </w:tblPr>
      <w:tblGrid>
        <w:gridCol w:w="798"/>
        <w:gridCol w:w="699"/>
        <w:gridCol w:w="708"/>
        <w:gridCol w:w="130"/>
        <w:gridCol w:w="130"/>
        <w:gridCol w:w="131"/>
        <w:gridCol w:w="1215"/>
        <w:gridCol w:w="1215"/>
        <w:gridCol w:w="1230"/>
        <w:gridCol w:w="474"/>
        <w:gridCol w:w="474"/>
        <w:gridCol w:w="477"/>
        <w:gridCol w:w="276"/>
        <w:gridCol w:w="276"/>
        <w:gridCol w:w="393"/>
      </w:tblGrid>
      <w:tr>
        <w:trPr/>
        <w:tc>
          <w:tcPr>
            <w:tcW w:w="79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Name</w:t>
            </w:r>
          </w:p>
        </w:tc>
        <w:tc>
          <w:tcPr>
            <w:tcW w:w="39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Age</w:t>
            </w:r>
          </w:p>
        </w:tc>
        <w:tc>
          <w:tcPr>
            <w:tcW w:w="366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Position</w:t>
            </w:r>
          </w:p>
        </w:tc>
        <w:tc>
          <w:tcPr>
            <w:tcW w:w="142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Director Since</w:t>
            </w:r>
          </w:p>
        </w:tc>
        <w:tc>
          <w:tcPr>
            <w:tcW w:w="94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Term Until</w:t>
            </w:r>
          </w:p>
        </w:tc>
      </w:tr>
      <w:tr>
        <w:trPr/>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Don Burnette</w:t>
            </w:r>
          </w:p>
        </w:tc>
        <w:tc>
          <w:tcPr>
            <w:tcW w:w="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Class I Director</w:t>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April 2018</w:t>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2026</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Mohamed Elshenawy</w:t>
            </w:r>
            <w:r>
              <w:rPr>
                <w:rFonts w:ascii="Times New Roman;serif" w:hAnsi="Times New Roman;serif"/>
                <w:b w:val="false"/>
                <w:color w:val="000000"/>
                <w:sz w:val="15"/>
              </w:rPr>
              <w:t>(2)(3)</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66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Class II Director</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July 2025</w:t>
            </w:r>
          </w:p>
        </w:tc>
        <w:tc>
          <w:tcPr>
            <w:tcW w:w="94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2027</w:t>
            </w:r>
          </w:p>
        </w:tc>
      </w:tr>
      <w:tr>
        <w:trPr/>
        <w:tc>
          <w:tcPr>
            <w:tcW w:w="2205"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Kenneth Goldman</w:t>
            </w:r>
            <w:r>
              <w:rPr>
                <w:rFonts w:ascii="Times New Roman;serif" w:hAnsi="Times New Roman;serif"/>
                <w:b w:val="false"/>
                <w:color w:val="000000"/>
                <w:sz w:val="15"/>
              </w:rPr>
              <w:t>(1)(3)</w:t>
            </w:r>
          </w:p>
        </w:tc>
        <w:tc>
          <w:tcPr>
            <w:tcW w:w="39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c>
        <w:tc>
          <w:tcPr>
            <w:tcW w:w="366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Class III Director</w:t>
            </w:r>
          </w:p>
        </w:tc>
        <w:tc>
          <w:tcPr>
            <w:tcW w:w="142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May 2025</w:t>
            </w:r>
          </w:p>
        </w:tc>
        <w:tc>
          <w:tcPr>
            <w:tcW w:w="94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2028</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James Reed</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66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Class II Director</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May 2023</w:t>
            </w:r>
          </w:p>
        </w:tc>
        <w:tc>
          <w:tcPr>
            <w:tcW w:w="94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2027</w:t>
            </w:r>
          </w:p>
        </w:tc>
      </w:tr>
      <w:tr>
        <w:trPr/>
        <w:tc>
          <w:tcPr>
            <w:tcW w:w="2205"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Allyson Satin</w:t>
            </w:r>
            <w:r>
              <w:rPr>
                <w:rFonts w:ascii="Times New Roman;serif" w:hAnsi="Times New Roman;serif"/>
                <w:b w:val="false"/>
                <w:color w:val="000000"/>
                <w:sz w:val="15"/>
              </w:rPr>
              <w:t>(2)</w:t>
            </w:r>
          </w:p>
        </w:tc>
        <w:tc>
          <w:tcPr>
            <w:tcW w:w="39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66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Class III Director</w:t>
            </w:r>
          </w:p>
        </w:tc>
        <w:tc>
          <w:tcPr>
            <w:tcW w:w="142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September 2025</w:t>
            </w:r>
          </w:p>
        </w:tc>
        <w:tc>
          <w:tcPr>
            <w:tcW w:w="94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2028</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Kristin Sverchek</w:t>
            </w:r>
            <w:r>
              <w:rPr>
                <w:rFonts w:ascii="Times New Roman;serif" w:hAnsi="Times New Roman;serif"/>
                <w:b w:val="false"/>
                <w:color w:val="000000"/>
                <w:sz w:val="15"/>
              </w:rPr>
              <w:t>(1)(3)</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66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Class I Director</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May 2025</w:t>
            </w:r>
          </w:p>
        </w:tc>
        <w:tc>
          <w:tcPr>
            <w:tcW w:w="94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2026</w:t>
            </w:r>
          </w:p>
        </w:tc>
      </w:tr>
      <w:tr>
        <w:trPr/>
        <w:tc>
          <w:tcPr>
            <w:tcW w:w="2205"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Scott Tobin</w:t>
            </w:r>
            <w:r>
              <w:rPr>
                <w:rFonts w:ascii="Times New Roman;serif" w:hAnsi="Times New Roman;serif"/>
                <w:b w:val="false"/>
                <w:color w:val="000000"/>
                <w:sz w:val="15"/>
              </w:rPr>
              <w:t>(1)(2)</w:t>
            </w:r>
          </w:p>
        </w:tc>
        <w:tc>
          <w:tcPr>
            <w:tcW w:w="39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366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Class II Director</w:t>
            </w:r>
          </w:p>
        </w:tc>
        <w:tc>
          <w:tcPr>
            <w:tcW w:w="142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September 2021</w:t>
            </w:r>
          </w:p>
        </w:tc>
        <w:tc>
          <w:tcPr>
            <w:tcW w:w="94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2027</w:t>
            </w:r>
          </w:p>
        </w:tc>
      </w:tr>
      <w:tr>
        <w:trPr/>
        <w:tc>
          <w:tcPr>
            <w:tcW w:w="8626" w:type="dxa"/>
            <w:gridSpan w:val="15"/>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w:t>
            </w:r>
          </w:p>
        </w:tc>
      </w:tr>
      <w:tr>
        <w:trPr/>
        <w:tc>
          <w:tcPr>
            <w:tcW w:w="8626" w:type="dxa"/>
            <w:gridSpan w:val="15"/>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Member of the Audit Committee</w:t>
            </w:r>
          </w:p>
        </w:tc>
      </w:tr>
      <w:tr>
        <w:trPr/>
        <w:tc>
          <w:tcPr>
            <w:tcW w:w="8626" w:type="dxa"/>
            <w:gridSpan w:val="15"/>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Member of the Compensation Committee</w:t>
            </w:r>
          </w:p>
        </w:tc>
      </w:tr>
      <w:tr>
        <w:trPr/>
        <w:tc>
          <w:tcPr>
            <w:tcW w:w="8626" w:type="dxa"/>
            <w:gridSpan w:val="15"/>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Member of the Nominating and Corporate Governance Committee</w:t>
            </w:r>
          </w:p>
        </w:tc>
      </w:tr>
    </w:tbl>
    <w:p>
      <w:pPr>
        <w:pStyle w:val="TextBody"/>
        <w:bidi w:val="0"/>
        <w:spacing w:lineRule="auto" w:line="268" w:before="120" w:after="283"/>
        <w:ind w:left="0" w:right="0" w:firstLine="720"/>
        <w:jc w:val="left"/>
        <w:rPr/>
      </w:pPr>
      <w:r>
        <w:rPr>
          <w:rFonts w:ascii="Times New Roman;serif" w:hAnsi="Times New Roman;serif"/>
          <w:b/>
          <w:color w:val="000000"/>
          <w:sz w:val="20"/>
        </w:rPr>
        <w:t>Don Burnette</w:t>
      </w:r>
      <w:r>
        <w:rPr>
          <w:color w:val="000000"/>
        </w:rPr>
        <w:t xml:space="preserve"> </w:t>
      </w:r>
      <w:r>
        <w:rPr>
          <w:rFonts w:ascii="Times New Roman;serif" w:hAnsi="Times New Roman;serif"/>
          <w:b w:val="false"/>
          <w:color w:val="000000"/>
          <w:sz w:val="20"/>
        </w:rPr>
        <w:t>serves as Kodiak’s Chief Executive Officer and a Class I Director</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0"/>
        </w:rPr>
        <w:t xml:space="preserve">Mr. Burnette served as Legacy Kodiak’s Chief Executive Officer from when he founded the company in April 2018 through the consummation of the Business Combination. Mr. Burnette is one of the autonomous vehicle industry’s pioneers, with more than a decade of experience working on self-driving software development. Prior to founding Legacy Kodiak, Mr. Burnette served as a Software Technical Lead at Uber Technologies, Inc. from November 2016 to March 2018. Mr. Burnette was the co-founder of Ottomotto LLC, the first self-driving truck startup that was acquired by Uber in August 2016. Prior to that, Mr. Burnette worked at as a software technical lead for Google’s Self-Driving Car Project, Waymo LLC’s predecessor, from May 2010 to February 2016. Mr. Burnette received Bachelor of Science degrees in Physics, Mathematics and Electrical Engineering, and a Master of Science degree in Physics from the University of Florida and a Master of Science degree in Robotics from Carnegie Mellon University. </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Mr. Burnette is qualified to serve on our Board due to his experience as our founder and Chief Executive Officer and his significant experience in the self-driving industry. </w:t>
      </w:r>
    </w:p>
    <w:p>
      <w:pPr>
        <w:pStyle w:val="TextBody"/>
        <w:bidi w:val="0"/>
        <w:spacing w:lineRule="auto" w:line="268" w:before="120" w:after="283"/>
        <w:ind w:left="0" w:right="0" w:firstLine="490"/>
        <w:jc w:val="left"/>
        <w:rPr/>
      </w:pPr>
      <w:r>
        <w:rPr>
          <w:rFonts w:ascii="Times New Roman;serif" w:hAnsi="Times New Roman;serif"/>
          <w:b/>
          <w:color w:val="000000"/>
          <w:sz w:val="20"/>
        </w:rPr>
        <w:t xml:space="preserve">Mohamed Elshenawy </w:t>
      </w:r>
      <w:r>
        <w:rPr>
          <w:rFonts w:ascii="Times New Roman;serif" w:hAnsi="Times New Roman;serif"/>
          <w:b w:val="false"/>
          <w:color w:val="000000"/>
          <w:sz w:val="20"/>
        </w:rPr>
        <w:t xml:space="preserve">serves as a Class II Director of Kodiak. Mr. Elshenawy served as a director of Legacy Kodiak from July 2025 through the consummation of the Business Combination. Mr. Elshenawy has served as the Chief Technology Officer of Hims &amp; Hers Health, Inc., a telehealth company, since May 2025. Prior to that, Mr. Elshenawy served as President and Chief Technology Officer of Cruise LLC, a self-driving car company, from November 2023 to April 2025, as Executive Vice President from February 2022 to December 2023, and as Senior Vice President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474345"/>
                <wp:effectExtent l="0" t="0" r="0" b="0"/>
                <wp:wrapNone/>
                <wp:docPr id="115" name="Frame111"/>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before="0" w:after="240"/>
        <w:jc w:val="center"/>
        <w:rPr/>
      </w:pPr>
      <w:r>
        <w:rPr/>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Engineering from December 2019 to February 2022. Prior to that, Mr. Elshenawy held leadership roles at Amazon.com, Inc., a multinational technology company. Mr. Elshenawy earned dual Bachelor of Science degree in Computer Engineering and Electrical Engineering from Ain Shams University and an M.B.A. from Texas A&amp;M University-Commerce. Mr. Elshenawy holds more than 10 patents across AI, robotics, and autonomous vehicles. </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Mr. Elshenawy is qualified to serve on our Board due to his extensive technical and leadership experience in the self-driving industry. </w:t>
      </w:r>
    </w:p>
    <w:p>
      <w:pPr>
        <w:pStyle w:val="TextBody"/>
        <w:bidi w:val="0"/>
        <w:spacing w:lineRule="auto" w:line="268" w:before="120" w:after="283"/>
        <w:ind w:left="0" w:right="0" w:firstLine="490"/>
        <w:jc w:val="left"/>
        <w:rPr/>
      </w:pPr>
      <w:r>
        <w:rPr>
          <w:rFonts w:ascii="Times New Roman;serif" w:hAnsi="Times New Roman;serif"/>
          <w:b/>
          <w:color w:val="000000"/>
          <w:sz w:val="20"/>
        </w:rPr>
        <w:t xml:space="preserve">Kenneth Goldman </w:t>
      </w:r>
      <w:r>
        <w:rPr>
          <w:rFonts w:ascii="Times New Roman;serif" w:hAnsi="Times New Roman;serif"/>
          <w:b w:val="false"/>
          <w:color w:val="000000"/>
          <w:sz w:val="20"/>
        </w:rPr>
        <w:t xml:space="preserve">serves as a Class III Director of Kodiak. Mr. Goldman served as a director of Legacy Kodiak from May 2025 through the consummation of the Business Combination. Mr. Goldman served as the President of Hillspire LLC, a family office management company from September 2017 through April 2022. From October 2012 to June 2017, Mr. Goldman served as the Chief Financial Officer of Yahoo! Inc., a provider of internet content and services. Prior to this, Mr. Goldman was the Senior Vice President and Chief Financial Officer of Fortinet Inc. (NASDAQ: FTNT), a provider of threat management technologies, from September 2007 to October 2012. From January 2015 to December 2017, Mr. Goldman served as a member of the PCAOB, Standing Advisory Group. Mr. Goldman has been serving as a member of the PCAOB, Investor Advisory Group since he joined in February 2024. From December 1999 to December 2003, Mr. Goldman served on the Financial Accounting Standards Board’s primary advisory group. Mr. Goldman currently serves on the boards of directors of Fortinet Inc., RingCentral, Inc., a provider of cloud-based communication and collaboration products and services, C3.ai, Inc., an enterprise artificial intelligence software company, and Wealthfront Corporation, a fintech company. Mr. Goldman previously served on the board of directors of Zuora, Inc., an enterprise software company, NXP Semiconductors N.V., a semiconductor company, and TriNET Group, Inc., a human resources management company. Mr. Goldman also served on the board of directors of the Value Reporting Foundation ("VRF”), which is responsible for the financing, oversight, administration and appointment of the VRF Standard Board, from July 2018 to July 2021. Mr. Goldman holds a B.S. in Electrical Engineering from Cornell University and an M.B.A. from Harvard Business School. </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Mr. Goldman is qualified to serve on our Board based on his expertise in finance, including accounting and financial reporting, and his career experience managing human resources and legal functions. Mr. Goldman also has over ten years of outside board experience at the aforementioned companies and numerous other public and private companies. </w:t>
      </w:r>
    </w:p>
    <w:p>
      <w:pPr>
        <w:pStyle w:val="TextBody"/>
        <w:bidi w:val="0"/>
        <w:spacing w:lineRule="auto" w:line="268" w:before="120" w:after="283"/>
        <w:ind w:left="0" w:right="0" w:firstLine="490"/>
        <w:jc w:val="left"/>
        <w:rPr/>
      </w:pPr>
      <w:r>
        <w:rPr>
          <w:rFonts w:ascii="Times New Roman;serif" w:hAnsi="Times New Roman;serif"/>
          <w:b/>
          <w:color w:val="000000"/>
          <w:sz w:val="20"/>
        </w:rPr>
        <w:t xml:space="preserve">James Reed </w:t>
      </w:r>
      <w:r>
        <w:rPr>
          <w:rFonts w:ascii="Times New Roman;serif" w:hAnsi="Times New Roman;serif"/>
          <w:b w:val="false"/>
          <w:color w:val="000000"/>
          <w:sz w:val="20"/>
        </w:rPr>
        <w:t xml:space="preserve">serves as a Class II Director of Kodiak. Mr. Reed served as a director of Legacy Kodiak from May 2023 through the consummation of the Business Combination. Mr. Reed has served as the Operating Partner and Senior Advisor for Banner Capital Management, LLC, a private equity firm, since May 2025. Prior to that, Mr. Reed served as the Vice President of Transportation of Walmart Inc. from February 2024 to May 2025. Prior to joining Walmart, Mr. Reed served as the Chief Operating Officer at Legacy Kodiak from November 2022 to February 2024 and as President &amp; Chief Executive Officer at USA Truck, Inc., a provider of transportation and logistics services which was acquired by DB Schenker in September 2022, from January 2017 to October 2022. From October 2022 to April 2024, Mr. Reed served on the board of directors of Moatable, Inc., an incubator of vertical industry SaaS businesses formerly known as Renren Inc. Mr. Reed currently serves on board of directors of Loram Maintenance of Way, Inc., a railroad maintenance company. Mr. Reed earned Bachelors of Arts degree in History and a Master of Business Administration, each from Brigham Young University. </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Mr. Reed is qualified to serve on our Board due to his experience and expertise in the transportation, technology and finance industries. </w:t>
      </w:r>
    </w:p>
    <w:p>
      <w:pPr>
        <w:pStyle w:val="TextBody"/>
        <w:bidi w:val="0"/>
        <w:spacing w:lineRule="auto" w:line="268" w:before="120" w:after="283"/>
        <w:ind w:left="0" w:right="0" w:firstLine="490"/>
        <w:jc w:val="left"/>
        <w:rPr/>
      </w:pPr>
      <w:r>
        <w:rPr>
          <w:rFonts w:ascii="Times New Roman;serif" w:hAnsi="Times New Roman;serif"/>
          <w:b/>
          <w:color w:val="000000"/>
          <w:sz w:val="20"/>
        </w:rPr>
        <w:t xml:space="preserve">Allyson Satin </w:t>
      </w:r>
      <w:r>
        <w:rPr>
          <w:rFonts w:ascii="Times New Roman;serif" w:hAnsi="Times New Roman;serif"/>
          <w:b w:val="false"/>
          <w:color w:val="000000"/>
          <w:sz w:val="20"/>
        </w:rPr>
        <w:t xml:space="preserve">serves as a Class III Director of Kodiak. Ms. Satin served as the Chief Operating Officer of AACT from its formation through the consummation of the Business Combination. Ms. Satin is a Partner in the Ares Corporate Strategy Group of Ares Management Corporation, where she focuses on the firm’s SPAC business. From 2009 to 2020, Ms. Satin was an investment professional in the Ares Private Equity Group, where she participated in various leveraged buyouts, growth equity and distressed debt transactions. Prior to joining Ares in 2009, Ms. Satin was an investment banking Analyst in the Global Financial Sponsors Group at Barclays Capital (formerly Lehman Brothers). Ms. Satin holds a B.S. from the University of California, Berkeley Haas School of Business in Business Administration. </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Ms. Satin is qualified to serve on our Board due to her knowledge of and extensive experience with leveraged finance, acquisitions and private equity investments, in addition to her service as a director of other companies. </w:t>
      </w:r>
    </w:p>
    <w:p>
      <w:pPr>
        <w:pStyle w:val="TextBody"/>
        <w:bidi w:val="0"/>
        <w:spacing w:lineRule="auto" w:line="268" w:before="120" w:after="283"/>
        <w:ind w:left="0" w:right="0" w:firstLine="490"/>
        <w:jc w:val="left"/>
        <w:rPr/>
      </w:pPr>
      <w:r>
        <w:rPr>
          <w:rFonts w:ascii="Times New Roman;serif" w:hAnsi="Times New Roman;serif"/>
          <w:b/>
          <w:color w:val="000000"/>
          <w:sz w:val="20"/>
        </w:rPr>
        <w:t>Kristin Sverchek</w:t>
      </w:r>
      <w:r>
        <w:rPr>
          <w:color w:val="000000"/>
        </w:rPr>
        <w:t xml:space="preserve"> </w:t>
      </w:r>
      <w:r>
        <w:rPr>
          <w:rFonts w:ascii="Times New Roman;serif" w:hAnsi="Times New Roman;serif"/>
          <w:b w:val="false"/>
          <w:color w:val="000000"/>
          <w:sz w:val="20"/>
        </w:rPr>
        <w:t xml:space="preserve">serves as a Class I Director of Kodiak. Ms. Sverchek served as a director of Legacy Kodiak from May 2025 through the consummation of the Business Combination. Ms. Sverchek was an Advisor at Lyft, Inc. from August 2024 to November 2024, and President of Lyft from July 2023 to August 2024. Prior to that, Ms. Sverchek served as President of Business Affairs at Lyft from November 2021 to July 2023. Prior to that, Ms. Sverchek served as General Counsel at Lyft from November 2012 to October 2021 and Secretary from October 2015 to October 2021. Ms. Sverchek has also served as Partner at Silicon Legal Strategy, P.C., a premier boutique law firm, from May 2011 to November 2012. Ms. Sverchek earned a Bachelor of Arts degree in Molecular &amp; Cell Biology from University of California, Berkeley and a Juris Doctorate from the University of California, College of the Law, San Francisco.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474345"/>
                <wp:effectExtent l="0" t="0" r="0" b="0"/>
                <wp:wrapNone/>
                <wp:docPr id="116" name="Frame112"/>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before="0" w:after="240"/>
        <w:jc w:val="center"/>
        <w:rPr/>
      </w:pPr>
      <w:r>
        <w:rPr/>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Ms. Sverchek is qualified to serve on our Board due to her extensive experience leading and advising high growth technology companies. </w:t>
      </w:r>
    </w:p>
    <w:p>
      <w:pPr>
        <w:pStyle w:val="TextBody"/>
        <w:bidi w:val="0"/>
        <w:spacing w:lineRule="auto" w:line="268" w:before="120" w:after="283"/>
        <w:ind w:left="0" w:right="0" w:firstLine="490"/>
        <w:jc w:val="left"/>
        <w:rPr/>
      </w:pPr>
      <w:r>
        <w:rPr>
          <w:rFonts w:ascii="Times New Roman;serif" w:hAnsi="Times New Roman;serif"/>
          <w:b/>
          <w:color w:val="000000"/>
          <w:sz w:val="20"/>
        </w:rPr>
        <w:t>Scott Tobin</w:t>
      </w:r>
      <w:r>
        <w:rPr>
          <w:color w:val="000000"/>
        </w:rPr>
        <w:t xml:space="preserve"> </w:t>
      </w:r>
      <w:r>
        <w:rPr>
          <w:rFonts w:ascii="Times New Roman;serif" w:hAnsi="Times New Roman;serif"/>
          <w:b w:val="false"/>
          <w:color w:val="000000"/>
          <w:sz w:val="20"/>
        </w:rPr>
        <w:t xml:space="preserve">serves as a Class II Director of Kodiak. Mr. Tobin served as a director of Legacy Kodiak from September 2021 through the consummation of the Business Combination. Mr. Tobin is a Senior Partner at Battery Ventures, a venture capital and private equity firm that he joined in 1997. Mr. Tobin serves on the boards of directors of several private companies as well as Champions Oncology, Inc. Mr. Tobin graduated with honors from Brandeis University with a Bachelor of Arts degree. </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Mr. Tobin is qualified to serve on our Board due to his extensive corporate finance and venture capital and investment experience. </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Executive Officers</w:t>
      </w:r>
    </w:p>
    <w:p>
      <w:pPr>
        <w:pStyle w:val="TextBody"/>
        <w:bidi w:val="0"/>
        <w:spacing w:lineRule="auto" w:line="26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names, ages, and positions of our executive officers as of January 31, 2026 are set forth below: </w:t>
      </w:r>
    </w:p>
    <w:tbl>
      <w:tblPr>
        <w:tblW w:w="5761" w:type="dxa"/>
        <w:jc w:val="center"/>
        <w:tblInd w:w="0" w:type="dxa"/>
        <w:tblLayout w:type="fixed"/>
        <w:tblCellMar>
          <w:top w:w="28" w:type="dxa"/>
          <w:left w:w="28" w:type="dxa"/>
          <w:bottom w:w="28" w:type="dxa"/>
          <w:right w:w="28" w:type="dxa"/>
        </w:tblCellMar>
      </w:tblPr>
      <w:tblGrid>
        <w:gridCol w:w="603"/>
        <w:gridCol w:w="528"/>
        <w:gridCol w:w="534"/>
        <w:gridCol w:w="130"/>
        <w:gridCol w:w="130"/>
        <w:gridCol w:w="131"/>
        <w:gridCol w:w="1082"/>
        <w:gridCol w:w="1082"/>
        <w:gridCol w:w="1541"/>
      </w:tblGrid>
      <w:tr>
        <w:trPr/>
        <w:tc>
          <w:tcPr>
            <w:tcW w:w="60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Name</w:t>
            </w:r>
          </w:p>
        </w:tc>
        <w:tc>
          <w:tcPr>
            <w:tcW w:w="39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Age</w:t>
            </w:r>
          </w:p>
        </w:tc>
        <w:tc>
          <w:tcPr>
            <w:tcW w:w="370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Position</w:t>
            </w:r>
          </w:p>
        </w:tc>
      </w:tr>
      <w:tr>
        <w:trPr/>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Don Burnette</w:t>
            </w:r>
          </w:p>
        </w:tc>
        <w:tc>
          <w:tcPr>
            <w:tcW w:w="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Class I Director</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Surajit Datta</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Jordan Coleman</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70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Legal and Policy Officer</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Zsuzsanna Major</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People Officer</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Andreas Wendel</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70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Technology Officer</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Michael Wiesinger</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Operating Officer</w:t>
            </w:r>
          </w:p>
        </w:tc>
      </w:tr>
    </w:tbl>
    <w:p>
      <w:pPr>
        <w:pStyle w:val="TextBody"/>
        <w:bidi w:val="0"/>
        <w:spacing w:lineRule="auto" w:line="268" w:before="120" w:after="283"/>
        <w:ind w:left="0" w:right="0" w:firstLine="490"/>
        <w:jc w:val="left"/>
        <w:rPr/>
      </w:pPr>
      <w:r>
        <w:rPr>
          <w:rFonts w:ascii="Times New Roman;serif" w:hAnsi="Times New Roman;serif"/>
          <w:b/>
          <w:color w:val="000000"/>
          <w:sz w:val="20"/>
        </w:rPr>
        <w:t xml:space="preserve">Don Burnette </w:t>
      </w:r>
      <w:r>
        <w:rPr>
          <w:rFonts w:ascii="Times New Roman;serif" w:hAnsi="Times New Roman;serif"/>
          <w:b w:val="false"/>
          <w:color w:val="000000"/>
          <w:sz w:val="20"/>
        </w:rPr>
        <w:t>serves as Kodiak’s Chief Executive Officer and is a Class I Director</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0"/>
        </w:rPr>
        <w:t>For a biography of Mr. Burnette, please see the above section titled “</w:t>
      </w:r>
      <w:r>
        <w:rPr>
          <w:rFonts w:ascii="Times New Roman;serif" w:hAnsi="Times New Roman;serif"/>
          <w:b w:val="false"/>
          <w:i/>
          <w:color w:val="000000"/>
          <w:sz w:val="20"/>
        </w:rPr>
        <w:t>Board Composition</w:t>
      </w:r>
      <w:r>
        <w:rPr>
          <w:rFonts w:ascii="Times New Roman;serif" w:hAnsi="Times New Roman;serif"/>
          <w:b w:val="false"/>
          <w:color w:val="000000"/>
          <w:sz w:val="20"/>
        </w:rPr>
        <w:t>.”</w:t>
      </w:r>
    </w:p>
    <w:p>
      <w:pPr>
        <w:pStyle w:val="TextBody"/>
        <w:bidi w:val="0"/>
        <w:spacing w:lineRule="auto" w:line="268" w:before="120" w:after="283"/>
        <w:ind w:left="0" w:right="0" w:firstLine="490"/>
        <w:jc w:val="left"/>
        <w:rPr/>
      </w:pPr>
      <w:r>
        <w:rPr>
          <w:rFonts w:ascii="Times New Roman;serif" w:hAnsi="Times New Roman;serif"/>
          <w:b/>
          <w:color w:val="000000"/>
          <w:sz w:val="20"/>
        </w:rPr>
        <w:t>Surajit Datta</w:t>
      </w:r>
      <w:r>
        <w:rPr>
          <w:color w:val="000000"/>
        </w:rPr>
        <w:t xml:space="preserve"> </w:t>
      </w:r>
      <w:r>
        <w:rPr>
          <w:rFonts w:ascii="Times New Roman;serif" w:hAnsi="Times New Roman;serif"/>
          <w:b w:val="false"/>
          <w:color w:val="000000"/>
          <w:sz w:val="20"/>
        </w:rPr>
        <w:t xml:space="preserve">serves as Kodiak’s Chief Financial Officer. Mr. Datta served as Legacy Kodiak’s Chief Financial Officer from August 2025 through the consummation of the Business Combination. Prior to joining Legacy Kodiak, Mr. Datta served as Vice President of Finance at SentinelOne, Inc., a cybersecurity company, from April 2022 to June 2025. Prior to that, from July 2017 to April 2022, Mr. Datta served at Arm Inc., a semiconductor IP company, as Vice President of Finance and Vice President of Corporate Development. Mr. Datta received a B. Tech in Chemical Engineering from the Indian Institute of Technology, Kharagpur, a PGDM in Finance and Marketing from the Indian Institute of Management, Calcutta, and an MBA in Finance and Accounting from the University of Chicago, Booth School of Business. </w:t>
      </w:r>
    </w:p>
    <w:p>
      <w:pPr>
        <w:pStyle w:val="TextBody"/>
        <w:bidi w:val="0"/>
        <w:spacing w:lineRule="auto" w:line="268" w:before="120" w:after="283"/>
        <w:ind w:left="0" w:right="0" w:firstLine="490"/>
        <w:jc w:val="left"/>
        <w:rPr/>
      </w:pPr>
      <w:r>
        <w:rPr>
          <w:rFonts w:ascii="Times New Roman;serif" w:hAnsi="Times New Roman;serif"/>
          <w:b/>
          <w:color w:val="000000"/>
          <w:sz w:val="20"/>
        </w:rPr>
        <w:t xml:space="preserve">Jordan Coleman </w:t>
      </w:r>
      <w:r>
        <w:rPr>
          <w:rFonts w:ascii="Times New Roman;serif" w:hAnsi="Times New Roman;serif"/>
          <w:b w:val="false"/>
          <w:color w:val="000000"/>
          <w:sz w:val="20"/>
        </w:rPr>
        <w:t xml:space="preserve">serves as Kodiak’s Chief Legal and Policy Officer. Mr. Coleman served as Legacy Kodiak’s Chief Legal and Policy Officer from March 2023 through the consummation of the Business Combination, prior to which he served as Legacy Kodiak’s General Counsel since December 2018. Before joining Legacy Kodiak, Mr. Coleman practiced corporate and securities law at Wilson Sonsini Goodrich &amp; Rosati and DLA Piper. Mr. Coleman received a Bachelor of Science degree in International Business from Georgetown University and a Juris Doctor from the University of California, College of the Law, San Francisco. </w:t>
      </w:r>
    </w:p>
    <w:p>
      <w:pPr>
        <w:pStyle w:val="TextBody"/>
        <w:bidi w:val="0"/>
        <w:spacing w:lineRule="auto" w:line="268" w:before="120" w:after="283"/>
        <w:ind w:left="0" w:right="0" w:firstLine="490"/>
        <w:jc w:val="left"/>
        <w:rPr/>
      </w:pPr>
      <w:r>
        <w:rPr>
          <w:rFonts w:ascii="Times New Roman;serif" w:hAnsi="Times New Roman;serif"/>
          <w:b/>
          <w:color w:val="000000"/>
          <w:sz w:val="20"/>
        </w:rPr>
        <w:t>Zsuzsanna Major</w:t>
      </w:r>
      <w:r>
        <w:rPr>
          <w:color w:val="000000"/>
        </w:rPr>
        <w:t xml:space="preserve"> </w:t>
      </w:r>
      <w:r>
        <w:rPr>
          <w:rFonts w:ascii="Times New Roman;serif" w:hAnsi="Times New Roman;serif"/>
          <w:b w:val="false"/>
          <w:color w:val="000000"/>
          <w:sz w:val="20"/>
        </w:rPr>
        <w:t xml:space="preserve">serves as Kodiak’s Chief People Officer. Ms. Major served as Legacy Kodiak’s Chief People Officer from May 2025 through the consummation of the Business Combination, and previously served as Vice President of People from October 2018 to May 2025. Prior to joining Legacy Kodiak, Ms. Major served as Vice President of People Operations at Kitty Hawk, an autonomous aircraft manufacturer (previously Zee.Aero), from March 2010 to March 2018. Prior to that, Ms. Major was Senior HR &amp; Business Operations Manager at OQO Inc., a computer hardware manufacturing company, from May 2006 to June 2009. Ms. Major received a Bachelor of Commerce degree in International Business from Concordia University in Montreal. </w:t>
      </w:r>
    </w:p>
    <w:p>
      <w:pPr>
        <w:pStyle w:val="TextBody"/>
        <w:bidi w:val="0"/>
        <w:spacing w:lineRule="auto" w:line="268" w:before="120" w:after="283"/>
        <w:ind w:left="0" w:right="0" w:firstLine="490"/>
        <w:jc w:val="left"/>
        <w:rPr/>
      </w:pPr>
      <w:r>
        <w:rPr>
          <w:rFonts w:ascii="Times New Roman;serif" w:hAnsi="Times New Roman;serif"/>
          <w:b/>
          <w:color w:val="000000"/>
          <w:sz w:val="20"/>
        </w:rPr>
        <w:t>Andreas Wendel</w:t>
      </w:r>
      <w:r>
        <w:rPr>
          <w:color w:val="000000"/>
        </w:rPr>
        <w:t xml:space="preserve"> </w:t>
      </w:r>
      <w:r>
        <w:rPr>
          <w:rFonts w:ascii="Times New Roman;serif" w:hAnsi="Times New Roman;serif"/>
          <w:b w:val="false"/>
          <w:color w:val="000000"/>
          <w:sz w:val="20"/>
        </w:rPr>
        <w:t xml:space="preserve">serves as Kodiak’s Chief Technology Officer. Mr. Wendel served as Legacy Kodiak’s Chief Technology Officer from February 2022 through the consummation of the Business Combination. From May 2018 to February 2022, Mr. Wendel served in various roles, including as Vice President of Engineering, after joining Legacy Kodiak as a founding engineer. Prior to joining Legacy Kodiak, Mr. Wendel led Software Engineering teams for Waymo LLC, an autonomous driving technology company, from January 2017 to May 2018 as its Perception Tech Lead, and from August 2013 to December 2016 for Waymo LLC’s predecessor Google’s Self-Driving Car Project as Software Engineer. Mr. Wendel was a researcher and lecturer at the Institute of Computer Graphics and Vision at Graz University of Technology, where he founded the Aerial Vision Group, a workgroup which researches computer vision for autonomous drones, from October 2009 to August 2013. Mr. Wendel received a Bachelor of Science degree in Information and Computer Engineering (Telematik), a Master of Science degree in Information and Computer Engineering (Telematik), and a Ph.D. in Computer Science from Graz University of Technology. </w:t>
      </w:r>
    </w:p>
    <w:p>
      <w:pPr>
        <w:pStyle w:val="TextBody"/>
        <w:bidi w:val="0"/>
        <w:spacing w:lineRule="auto" w:line="268" w:before="120" w:after="283"/>
        <w:ind w:left="0" w:right="0" w:firstLine="490"/>
        <w:jc w:val="left"/>
        <w:rPr/>
      </w:pPr>
      <w:r>
        <w:rPr>
          <w:rFonts w:ascii="Times New Roman;serif" w:hAnsi="Times New Roman;serif"/>
          <w:b/>
          <w:color w:val="000000"/>
          <w:sz w:val="20"/>
        </w:rPr>
        <w:t>Michael Wiesinger</w:t>
      </w:r>
      <w:r>
        <w:rPr>
          <w:color w:val="000000"/>
        </w:rPr>
        <w:t xml:space="preserve"> </w:t>
      </w:r>
      <w:r>
        <w:rPr>
          <w:rFonts w:ascii="Times New Roman;serif" w:hAnsi="Times New Roman;serif"/>
          <w:b w:val="false"/>
          <w:color w:val="000000"/>
          <w:sz w:val="20"/>
        </w:rPr>
        <w:t xml:space="preserve">serves as Kodiak’s Chief Operating Officer. Mr. Wiesinger served as Legacy Kodiak’s Chief Operating Officer from April 2025 through the consummation of the Business Combination. From October 2019 until April 2025 he served in various roles for Legacy Kodiak, including as Vice President of Commercialization. Prior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474345"/>
                <wp:effectExtent l="0" t="0" r="0" b="0"/>
                <wp:wrapNone/>
                <wp:docPr id="117" name="Frame113"/>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before="0" w:after="240"/>
        <w:jc w:val="center"/>
        <w:rPr/>
      </w:pPr>
      <w:r>
        <w:rPr/>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joining Legacy Kodiak, Mr. Wiesinger served in various positions at Boston Consulting Group between February 2014 and September 2019, most recently as Project Leader. Mr. Wiesinger graduated from Vienna University of Economics and Business with a Master of Science in Management and from Vienna University of Technology with a Bachelor of Science in Industrial Engineering and a Master of Science in Industrial Engineering.</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 xml:space="preserve">Family Relationships </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Gerhard Eschelbeck, our Chief Security Officer, is the father-in-law of Michael Wiesinger, our Chief Operating Officer. There are no other familial relationships among any of our directors and executive officers. </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 xml:space="preserve">Role of the Board in Risk Oversight/Risk Committee </w:t>
      </w:r>
    </w:p>
    <w:p>
      <w:pPr>
        <w:pStyle w:val="TextBody"/>
        <w:bidi w:val="0"/>
        <w:spacing w:lineRule="auto" w:line="268" w:before="120" w:after="283"/>
        <w:ind w:left="0" w:right="0" w:firstLine="490"/>
        <w:jc w:val="left"/>
        <w:rPr/>
      </w:pPr>
      <w:r>
        <w:rPr>
          <w:rFonts w:ascii="Times New Roman;serif" w:hAnsi="Times New Roman;serif"/>
          <w:b w:val="false"/>
          <w:color w:val="000000"/>
          <w:sz w:val="20"/>
        </w:rPr>
        <w:t>One of the key functions of our Board is informed oversight of our risk management process. Our Board does not have a standing risk management committee, but administers this oversight function directly through</w:t>
      </w:r>
      <w:r>
        <w:rPr>
          <w:color w:val="000000"/>
        </w:rPr>
        <w:t xml:space="preserve"> </w:t>
      </w:r>
      <w:r>
        <w:rPr>
          <w:rFonts w:ascii="Times New Roman;serif" w:hAnsi="Times New Roman;serif"/>
          <w:b w:val="false"/>
          <w:color w:val="000000"/>
          <w:sz w:val="20"/>
        </w:rPr>
        <w:t>our Board as a whole, as well as through various standing committees of our Board that address risks inherent in their respective areas of oversight. In particular, our Board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Audit Committee also monitors compliance with legal and regulatory requirements. Our Compensation Committee also assesses and monitors whether our compensation plans, policies and programs comply with applicable legal and regulatory requirements. </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 xml:space="preserve">Board Committees </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has three standing committees: an audit committee (the “Audit Committee”), a compensation committee (the “Compensation Committee”), and a nominating and corporate governance committee (the “Nominating and Corporate Governance Committee”). Copies of the charters for each committee are available on our investor relations website. </w:t>
      </w:r>
    </w:p>
    <w:p>
      <w:pPr>
        <w:pStyle w:val="TextBody"/>
        <w:bidi w:val="0"/>
        <w:spacing w:lineRule="auto" w:line="268" w:before="120" w:after="283"/>
        <w:jc w:val="left"/>
        <w:rPr>
          <w:rFonts w:ascii="Times New Roman;serif" w:hAnsi="Times New Roman;serif"/>
          <w:b/>
          <w:i/>
          <w:color w:val="000000"/>
          <w:sz w:val="20"/>
        </w:rPr>
      </w:pPr>
      <w:r>
        <w:rPr>
          <w:rFonts w:ascii="Times New Roman;serif" w:hAnsi="Times New Roman;serif"/>
          <w:b/>
          <w:i/>
          <w:color w:val="000000"/>
          <w:sz w:val="20"/>
        </w:rPr>
        <w:t xml:space="preserve">Audit Committee </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Audit Committee consists of Kenneth Goldman, Kristin Sverchek and Scott Tobin. Our Board has determined that each of the members of the Audit Committee satisfies the independence requirements of Nasdaq and Rule 10A-3 under the Exchange Act and is able to read and understand fundamental financial statements in accordance with Nasdaq’s requirements and Audit Committee requirements. In arriving at this determination, our Board examined each of the Audit Committee members’ scope of experience and the nature of their prior and/or current employment. </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Kenneth Goldman serves as the chair of our Audit Committee. Our Board has determined that Kenneth Goldman qualifies as an audit committee financial expert within the meaning of SEC regulations and meets the financial sophistication requirements of Nasdaq rules. In making this determination, our Board considered his formal education and previous experience in financial roles. Kodiak’s independent registered public accounting firm and management will periodically meet privately with the Audit Committee. </w:t>
      </w:r>
    </w:p>
    <w:p>
      <w:pPr>
        <w:pStyle w:val="TextBody"/>
        <w:bidi w:val="0"/>
        <w:spacing w:lineRule="auto" w:line="26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functions of this committee include, among other things: </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evaluating the performance, independence and qualifications of Kodiak’s independent auditors and determining whether to retain Kodiak’s existing independent auditors or engage new independent auditors;</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 xml:space="preserve">providing oversight of the internal audit function, ensuring its independence, objectivity, and effectiveness in promoting a strong internal controls environment; </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 xml:space="preserve">reviewing Kodiak’s financial reporting processes and disclosure controls; </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 xml:space="preserve">reviewing and approving the engagement of Kodiak’s independent auditors to perform audit services and any permissible non-audit services; </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 xml:space="preserve">reviewing Kodiak’s cash management, investing activities and tax planning and compliance and approving related policies; </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 xml:space="preserve">reviewing the adequacy and effectiveness of Kodiak’s internal controls policies and procedures, including the responsibilities, budget, staffing and effectiveness of Kodiak’s internal audit function, if applicable; </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 xml:space="preserve">reviewing with the independent auditors the annual audit plan, including the scope of audit activities and all critical accounting policies and practices to be used by Kodiak; </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 xml:space="preserve">obtaining and reviewing at least annually a report by Kodiak’s independent auditors describing the independent auditors’ internal quality control procedures and any material issues raised by the most recent internal quality-control review;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474345"/>
                <wp:effectExtent l="0" t="0" r="0" b="0"/>
                <wp:wrapNone/>
                <wp:docPr id="118" name="Frame114"/>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before="0" w:after="240"/>
        <w:jc w:val="center"/>
        <w:rPr/>
      </w:pPr>
      <w:r>
        <w:rPr/>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 xml:space="preserve">monitoring the rotation of partners of Kodiak’s independent auditors on Kodiak’s engagement team as required by law; </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 xml:space="preserve">prior to engagement of any independent auditor, and at least annually thereafter, reviewing relationships that may reasonably be thought to bear on their independence, and assessing and otherwise taking the appropriate action to oversee the independence of Kodiak’s independent auditor; </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reviewing Kodiak’s annual and quarterly financial statements and reports, including the disclosures contained in “</w:t>
      </w:r>
      <w:r>
        <w:rPr>
          <w:rFonts w:ascii="Times New Roman;serif" w:hAnsi="Times New Roman;serif"/>
          <w:b w:val="false"/>
          <w:i/>
          <w:color w:val="000000"/>
          <w:sz w:val="20"/>
        </w:rPr>
        <w:t>Management’s Discussion and Analysis of Financial Condition and Results of Operations</w:t>
      </w:r>
      <w:r>
        <w:rPr>
          <w:rFonts w:ascii="Times New Roman;serif" w:hAnsi="Times New Roman;serif"/>
          <w:b w:val="false"/>
          <w:color w:val="000000"/>
          <w:sz w:val="20"/>
        </w:rPr>
        <w:t xml:space="preserve">,” and discussing the statements and reports with Kodiak’s independent auditors and management; </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 xml:space="preserve">reviewing with Kodiak’s independent auditors and management significant issues that arise regarding accounting principles and financial statement presentation and matters concerning the scope, adequacy, and effectiveness of Kodiak’s financial controls and critical accounting policies; </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 xml:space="preserve">reviewing with management any earnings announcements and other public announcements regarding material developments; </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 xml:space="preserve">establishing procedures for the receipt, retention and treatment of complaints received by Kodiak regarding financial controls, accounting, auditing or other matters; </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 xml:space="preserve">preparing the report that the SEC requires in Kodiak’s annual proxy statement; </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 xml:space="preserve">reviewing and providing oversight of any related person transactions in accordance with Kodiak’s related person transaction policy and reviewing and monitoring compliance with legal and regulatory responsibilities, including Kodiak’s Code of Conduct (as defined below); </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 xml:space="preserve">consider questions of actual or possible conflicts of interests of Kodiak’s Board members and of its corporate officers and approve or prohibit applicable transactions or matters; </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 xml:space="preserve">reviewing Kodiak’s major financial risk exposures, including the guidelines and policies to govern the process by which risk assessment and risk management is implemented; and </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reviewing and evaluating on an annual basis the performance of the Audit Committee and the Audit Committee charter.</w:t>
      </w:r>
    </w:p>
    <w:p>
      <w:pPr>
        <w:pStyle w:val="TextBody"/>
        <w:bidi w:val="0"/>
        <w:spacing w:lineRule="auto" w:line="26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composition and function of the Audit Committee complies with all applicable requirements of the Sarbanes-Oxley Act and all applicable SEC rules and regulations. </w:t>
      </w:r>
    </w:p>
    <w:p>
      <w:pPr>
        <w:pStyle w:val="TextBody"/>
        <w:bidi w:val="0"/>
        <w:spacing w:lineRule="auto" w:line="268" w:before="120" w:after="283"/>
        <w:jc w:val="left"/>
        <w:rPr>
          <w:rFonts w:ascii="Times New Roman;serif" w:hAnsi="Times New Roman;serif"/>
          <w:b/>
          <w:i/>
          <w:color w:val="000000"/>
          <w:sz w:val="20"/>
        </w:rPr>
      </w:pPr>
      <w:r>
        <w:rPr>
          <w:rFonts w:ascii="Times New Roman;serif" w:hAnsi="Times New Roman;serif"/>
          <w:b/>
          <w:i/>
          <w:color w:val="000000"/>
          <w:sz w:val="20"/>
        </w:rPr>
        <w:t xml:space="preserve">Compensation Committee </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Compensation Committee consists of Mohamed Elshenawy, Allyson Satin and Scott Tobin. Scott Tobin serves as the chair of the Compensation Committee. Our Board has determined that each of the members of the Compensation Committee is a non-employee director, as defined in Rule 16b-3 promulgated under the Exchange Act and satisfies the independence requirements of Nasdaq. The functions of the committee include, among other things: </w:t>
      </w:r>
    </w:p>
    <w:p>
      <w:pPr>
        <w:pStyle w:val="TextBody"/>
        <w:bidi w:val="0"/>
        <w:spacing w:lineRule="auto" w:line="268" w:before="120" w:after="120"/>
        <w:ind w:left="0" w:right="0" w:hanging="360"/>
        <w:jc w:val="left"/>
        <w:rPr/>
      </w:pPr>
      <w:r>
        <w:rPr>
          <w:color w:val="000000"/>
        </w:rPr>
        <w:t>•</w:t>
      </w:r>
      <w:r>
        <w:rPr>
          <w:rFonts w:ascii="Times New Roman;serif" w:hAnsi="Times New Roman;serif"/>
          <w:b w:val="false"/>
          <w:color w:val="000000"/>
          <w:sz w:val="20"/>
        </w:rPr>
        <w:t xml:space="preserve">reviewing and approving the corporate objectives that pertain to the determination of executive compensation; </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reviewing and approving or recommending for our Board approval the compensation and other terms of employment and any other material arrangements for Kodiak’s executive officers;</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 xml:space="preserve">making recommendations to our Board regarding the administration, including adoption or amendment, of employee benefit and equity incentive plans and approving amendments to such plans to the extent authorized by our Board; </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 xml:space="preserve">reviewing and making recommendations to our Board regarding the type and amount of compensation to be paid for service on our Board and its committees; </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 xml:space="preserve">reviewing and assessing the independence of compensation consultants, legal counsel and other advisors as required by Section 10C of the Exchange Act; </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 xml:space="preserve">reviewing and approving or recommending to the Board for approval, the administration, including the adoption or amendment, of any clawback policy; </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reviewing with management Kodiak’s disclosures under the caption “</w:t>
      </w:r>
      <w:r>
        <w:rPr>
          <w:rFonts w:ascii="Times New Roman;serif" w:hAnsi="Times New Roman;serif"/>
          <w:b w:val="false"/>
          <w:i/>
          <w:color w:val="000000"/>
          <w:sz w:val="20"/>
        </w:rPr>
        <w:t>Compensation Discussion and Analysis</w:t>
      </w:r>
      <w:r>
        <w:rPr>
          <w:color w:val="000000"/>
        </w:rPr>
        <w:t xml:space="preserve">” </w:t>
      </w:r>
      <w:r>
        <w:rPr>
          <w:rFonts w:ascii="Times New Roman;serif" w:hAnsi="Times New Roman;serif"/>
          <w:b w:val="false"/>
          <w:color w:val="000000"/>
          <w:sz w:val="20"/>
        </w:rPr>
        <w:t xml:space="preserve">in Kodiak’s periodic reports or proxy statements to be filed with the SEC, to the extent such caption is included in any such report or proxy statement; </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 xml:space="preserve">preparing an annual report on executive compensation that the SEC requires in Kodiak’s annual proxy statement;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474345"/>
                <wp:effectExtent l="0" t="0" r="0" b="0"/>
                <wp:wrapNone/>
                <wp:docPr id="119" name="Frame115"/>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before="0" w:after="240"/>
        <w:jc w:val="center"/>
        <w:rPr/>
      </w:pPr>
      <w:r>
        <w:rPr/>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 xml:space="preserve">advising the Board on management proposals to stockholders on executive compensation matters, including advisory votes on executive compensation and the frequency of such votes, and proposals received from stockholders on executive compensation matters; </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 xml:space="preserve">reviewing risk management and compensation policies and practices to determine whether the policies and practices encourage excessive risk-taking; and </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 xml:space="preserve">reviewing and evaluating on an annual basis the performance of the Compensation Committee and the Compensation Committee charter. </w:t>
      </w:r>
    </w:p>
    <w:p>
      <w:pPr>
        <w:pStyle w:val="TextBody"/>
        <w:bidi w:val="0"/>
        <w:spacing w:lineRule="auto" w:line="26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composition and function of the Compensation Committee complies with all applicable requirements of the Sarbanes-Oxley Act and all applicable SEC and Nasdaq rules and regulations. </w:t>
      </w:r>
    </w:p>
    <w:p>
      <w:pPr>
        <w:pStyle w:val="TextBody"/>
        <w:bidi w:val="0"/>
        <w:spacing w:lineRule="auto" w:line="268" w:before="120" w:after="283"/>
        <w:jc w:val="left"/>
        <w:rPr>
          <w:rFonts w:ascii="Times New Roman;serif" w:hAnsi="Times New Roman;serif"/>
          <w:b/>
          <w:i/>
          <w:color w:val="000000"/>
          <w:sz w:val="20"/>
        </w:rPr>
      </w:pPr>
      <w:r>
        <w:rPr>
          <w:rFonts w:ascii="Times New Roman;serif" w:hAnsi="Times New Roman;serif"/>
          <w:b/>
          <w:i/>
          <w:color w:val="000000"/>
          <w:sz w:val="20"/>
        </w:rPr>
        <w:t xml:space="preserve">Nominating and Corporate Governance Committee </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Nominating and Corporate Governance Committee consists of Mohamed Elshenawy, Kenneth Goldman and Kristin Sverchek. Our Board has determined that each of the members of the Nominating and Corporate Governance Committee satisfies the independence requirements of Nasdaq.</w:t>
      </w:r>
    </w:p>
    <w:p>
      <w:pPr>
        <w:pStyle w:val="TextBody"/>
        <w:bidi w:val="0"/>
        <w:spacing w:lineRule="auto" w:line="26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Kristin Sverchek serves as the chair of our Nominating and Corporate Governance Committee. The functions of this committee include, among other things:</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identifying, reviewing and making recommendations of candidates to serve on our Board;</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 xml:space="preserve">evaluating the performance of our Board, committees of our Board and individual directors and recommending to our Board whether continued service on our Board is appropriate; </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evaluating nominations by stockholders of candidates for election to our Board;</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evaluating the current size, composition and organization of our Board and its committees and making recommendations to our Board for approvals;</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 xml:space="preserve">developing a set of corporate governance policies and guidelines and recommending to our Board any changes to such policies and guidelines; </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 xml:space="preserve">reviewing issues and developments related to corporate governance and identifying and bringing to the attention of our Board current and emerging corporate governance trends; </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 xml:space="preserve">reviewing periodically the succession planning process for Kodiak’s executive management team and assisting our Board in evaluating potential successors; </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 xml:space="preserve">reviewing and discussing with management disclosure of Kodiak’s corporate governance practices and recommending any proposed disclosure to be included in Kodiak’s proxy statement or annual report to our Board; and </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 xml:space="preserve">reviewing periodically the Nominating and Corporate Governance Committee charter, structure and membership requirements and recommending any proposed changes to our Board, including undertaking an annual review of its own performance. </w:t>
      </w:r>
    </w:p>
    <w:p>
      <w:pPr>
        <w:pStyle w:val="TextBody"/>
        <w:bidi w:val="0"/>
        <w:spacing w:lineRule="auto" w:line="26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composition and function of the Nominating and Corporate Governance Committee complies with all applicable requirements of the Sarbanes-Oxley Act and all applicable SEC and Nasdaq rules and regulations. </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Considerations in Evaluating Director Nominees</w:t>
      </w:r>
    </w:p>
    <w:p>
      <w:pPr>
        <w:pStyle w:val="TextBody"/>
        <w:bidi w:val="0"/>
        <w:spacing w:lineRule="auto" w:line="268" w:before="120" w:after="283"/>
        <w:ind w:left="0" w:right="0" w:firstLine="490"/>
        <w:jc w:val="both"/>
        <w:rPr/>
      </w:pPr>
      <w:r>
        <w:rPr>
          <w:rFonts w:ascii="Times New Roman;serif" w:hAnsi="Times New Roman;serif"/>
          <w:b w:val="false"/>
          <w:color w:val="000000"/>
          <w:sz w:val="20"/>
        </w:rPr>
        <w:t>The Nominating and Corporate Governance Committee uses a variety of methods for identifying and evaluating director nominees. In its evaluation of director candidates, including the members of the Board eligible for re-election, the Nominating and Corporate Governance Committee considers the current size and composition of the Board and the needs of the Board and the respective committees of the Board. Some of the qualifications that the Nominating and Corporate Governance Committee considers include, without limitation, issues of character, professional ethics and integrity, judgment, business acumen, proven achievement and</w:t>
      </w:r>
      <w:r>
        <w:rPr>
          <w:color w:val="000000"/>
        </w:rPr>
        <w:t xml:space="preserve"> </w:t>
      </w:r>
      <w:r>
        <w:rPr>
          <w:rFonts w:ascii="Times New Roman;serif" w:hAnsi="Times New Roman;serif"/>
          <w:b w:val="false"/>
          <w:color w:val="000000"/>
          <w:sz w:val="20"/>
        </w:rPr>
        <w:t>competence in one’s field, the ability to exercise sound business judgment, tenure on the Board and skills that are complementary to the Board, an understanding of the Company’s business, an understanding of the responsibilities that are required of a member of the Board, other time commitments, diversity with</w:t>
      </w:r>
      <w:r>
        <w:rPr>
          <w:color w:val="000000"/>
        </w:rPr>
        <w:t xml:space="preserve"> </w:t>
      </w:r>
      <w:r>
        <w:rPr>
          <w:rFonts w:ascii="Times New Roman;serif" w:hAnsi="Times New Roman;serif"/>
          <w:b w:val="false"/>
          <w:color w:val="000000"/>
          <w:sz w:val="20"/>
        </w:rPr>
        <w:t>respect to professional background, education, race and geography, as well as other individual qualities and attributes that contribute to the total mix of viewpoints and experience represented on the Board. The Nominating and Corporate Governance Committee may take such measures that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Nominating and Corporate Governance Committee, the Board or management. After completing its review and evaluation of director candidates, the Nominating and Corporate Governance Committee recommends to the full Board the director nominees for selection.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474345"/>
                <wp:effectExtent l="0" t="0" r="0" b="0"/>
                <wp:wrapNone/>
                <wp:docPr id="120" name="Frame116"/>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before="0" w:after="240"/>
        <w:jc w:val="center"/>
        <w:rPr/>
      </w:pPr>
      <w:r>
        <w:rPr/>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Stockholder Recommendations for Nominations to the Board of Directors</w:t>
      </w:r>
    </w:p>
    <w:p>
      <w:pPr>
        <w:pStyle w:val="TextBody"/>
        <w:bidi w:val="0"/>
        <w:spacing w:lineRule="auto" w:line="268" w:before="12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The Nominating and Corporate Governance Committee considers recommendations and nominations for candidates to the Board from stockholders in the same manner as candidates recommended to the Nominating and Corporate Governance Committee from other sources, so long as such recommendations and nominations comply with the Certificate of Incorporation and Bylaws, all applicable Company policies and all applicable laws, rules and regulations. Stockholders holding at least three (3) percent of the fully diluted capitalization of the Company continuously for at least three (3) years prior to the date of the submission may recommend director nominees for consideration by the Nominating and Corporate Governance Committee by writing to the Secretary of the Company. The recommendation must include the candidate’s name, home and business contact information, detailed biographical data, relevant qualifications, a signed letter from the candidate confirming willingness to serve, information regarding any relationships between the candidate and the Company and evidence of the recommending stockholder’s ownership of Company stock. Such recommendations must also include a statement from the recommending stockholder in support of the candidate. The Nominating and Corporate Governance Committee will evaluate such recommendations in accordance with its charter, our Bylaws, our policies and procedures for director candidates, as well as the regular nominee criteria described above. </w:t>
      </w:r>
    </w:p>
    <w:p>
      <w:pPr>
        <w:pStyle w:val="TextBody"/>
        <w:bidi w:val="0"/>
        <w:spacing w:lineRule="auto" w:line="26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our Bylaws, stockholders may also directly nominate persons for our board of directors. Any nomination must comply with the requirements set forth in our Bylaws and the rules and regulations of the SEC and should be sent in writing to our Corporate Secretary.</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Compensation Committee Interlocks and Insider Participation</w:t>
      </w:r>
    </w:p>
    <w:p>
      <w:pPr>
        <w:pStyle w:val="TextBody"/>
        <w:bidi w:val="0"/>
        <w:spacing w:lineRule="auto" w:line="268" w:before="120" w:after="283"/>
        <w:ind w:left="0" w:right="0" w:firstLine="490"/>
        <w:jc w:val="left"/>
        <w:rPr/>
      </w:pPr>
      <w:r>
        <w:rPr>
          <w:rFonts w:ascii="Times New Roman;serif" w:hAnsi="Times New Roman;serif"/>
          <w:b w:val="false"/>
          <w:color w:val="000000"/>
          <w:sz w:val="20"/>
        </w:rPr>
        <w:t>None of the members of our Compensation Committee has ever been an executive officer or employee of Kodiak. Allyson Satin served as AACT’s Chief Operating Officer prior to the Business Combination and currently serves as a member of our board of directors and Compensation Committee. See the section titled “</w:t>
      </w:r>
      <w:r>
        <w:rPr>
          <w:rFonts w:ascii="Times New Roman;serif" w:hAnsi="Times New Roman;serif"/>
          <w:b w:val="false"/>
          <w:i/>
          <w:color w:val="000000"/>
          <w:sz w:val="20"/>
        </w:rPr>
        <w:t>Certain Relationships and Related Transactions, and Director Independence</w:t>
      </w:r>
      <w:r>
        <w:rPr>
          <w:rFonts w:ascii="Times New Roman;serif" w:hAnsi="Times New Roman;serif"/>
          <w:b w:val="false"/>
          <w:color w:val="000000"/>
          <w:sz w:val="20"/>
        </w:rPr>
        <w:t xml:space="preserve">,” for information about related party transactions involving members of our Compensation Committee or their affiliates. None of our executive officers currently serves, or has served during the last completed fiscal year, on the compensation committee or board of directors of any other entity that has one or more executive officers that serve as a member of our Board or Compensation Committee. </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Limitation on Liability and Indemnification of Directors and Officers</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Delaware General Corporation Law (“DGCL”) authorizes corporations to limit or eliminate the personal liability of directors and officers to corporations and their stockholders for monetary damages for breaches of directors’ and officers’ fiduciary duties, subject to certain exceptions. Our Certificate of Incorporation includes a provision that eliminates the personal liability of directors and officers for monetary damages for any breach of fiduciary duty as a director or officer to the fullest extent permitted by the DGCL, except to the extent such exemption from liability or limitation thereof is not permitted under the DGCL. The DGCL prohibits our Certificate of Incorporation from limiting the liability of directors or officers for the following:</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any breach of the director’s or officer’s duty of loyalty to Kodiak or Kodiak’s stockholders;</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acts or omissions of a director or officer not in good faith or that involve intentional misconduct or a knowing violation of law;</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with respect to a director, unlawful payment of dividends or unlawful stock repurchases or redemptions;</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any transaction from which the director or officer derived an improper personal benefit; and</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with respect to an officer, any action by or in the right of Kodiak.</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If the DGCL is amended to authorize corporate action further eliminating or limiting the personal liability of a director or officer, then the liability of a director or officer of Kodiak will be eliminated or limited to the fullest extent permitted by the DGCL, as so amended. Our Certificate of Incorporation does not eliminate a director’s or officer’s duty of care and, in appropriate circumstances, equitable remedies, such as injunctive or other forms of non-monetary relief, remain available under Delaware law. This provision also does not affect a director’s or officer’s responsibilities under any other laws, such as the federal securities laws or other state or federal laws. </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Bylaws provide that we shall indemnify and advance expenses to directors and officers to the fullest extent authorized by the DGCL. Further, we have entered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to the fullest extent permitted by law. These indemnification agreements also require us to advance all expenses incurred by the directors and executive officers in investigating or defending any such action, suit, or proceeding to the fullest extent permitted by law. Our Bylaws also empower us to purchase insurance on behalf of any person whom we are required or permitted to indemnify. </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limitation of liability, indemnification and advancement provisions in our Certificate of Incorporation and Bylaws may discourage stockholders from bringing a lawsuit against directors and officers for breach of their fiduciary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474345"/>
                <wp:effectExtent l="0" t="0" r="0" b="0"/>
                <wp:wrapNone/>
                <wp:docPr id="121" name="Frame117"/>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before="0" w:after="240"/>
        <w:jc w:val="center"/>
        <w:rPr/>
      </w:pPr>
      <w:r>
        <w:rPr/>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duties. These provisions also may have the effect of reducing the likelihood of derivative litigation against directors and officers, even though such an action, if successful, might otherwise benefit us and our stockholders. Your investment may be adversely affected to the extent we pay the costs of settlement and damage awards against directors and officers pursuant to these indemnification provisions. We believe that these provisions, liability insurance and any indemnification agreements that may be entered into are necessary to attract and retain talented and experienced directors and officers. </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There is currently no pending material litigation or proceeding involving any of our directors, officers or employees for which indemnification is sought.</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Code of Business Conduct and Ethics for Employees, Executive Officers, and Directors</w:t>
      </w:r>
    </w:p>
    <w:p>
      <w:pPr>
        <w:pStyle w:val="TextBody"/>
        <w:bidi w:val="0"/>
        <w:spacing w:lineRule="auto" w:line="268" w:before="120" w:after="283"/>
        <w:ind w:left="0" w:right="0" w:firstLine="490"/>
        <w:jc w:val="left"/>
        <w:rPr/>
      </w:pPr>
      <w:r>
        <w:rPr>
          <w:rFonts w:ascii="Times New Roman;serif" w:hAnsi="Times New Roman;serif"/>
          <w:b w:val="false"/>
          <w:color w:val="000000"/>
          <w:sz w:val="20"/>
        </w:rPr>
        <w:t xml:space="preserve">Our Board has adopted a code of business conduct and ethics (the “Code of Conduct”), applicable to all of our employees, executive officers and directors. The Code of Conduct is available on our investor relations website at https://investors.kodiak.ai. </w:t>
      </w:r>
      <w:r>
        <w:rPr>
          <w:rFonts w:ascii="Times New Roman;serif" w:hAnsi="Times New Roman;serif"/>
          <w:b w:val="false"/>
          <w:color w:val="000000"/>
          <w:sz w:val="20"/>
          <w:shd w:fill="FFFFFF" w:val="clear"/>
        </w:rPr>
        <w:t xml:space="preserve">Information contained on or accessible through our website is not a part of this Annual Report, and the inclusion of our website address in this Annual Report is an inactive textual reference only. </w:t>
      </w:r>
      <w:r>
        <w:rPr>
          <w:rFonts w:ascii="Times New Roman;serif" w:hAnsi="Times New Roman;serif"/>
          <w:b w:val="false"/>
          <w:color w:val="000000"/>
          <w:sz w:val="20"/>
        </w:rPr>
        <w:t>Our Board, or a duly appointed committee thereof,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Insider Trading Policies and Procedures</w:t>
      </w:r>
    </w:p>
    <w:p>
      <w:pPr>
        <w:pStyle w:val="TextBody"/>
        <w:bidi w:val="0"/>
        <w:spacing w:lineRule="auto" w:line="26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insider trading policies and procedures governing the purchase, sale, and other dispositions of our securities that are applicable to all of our directors, officers, employees, consultants, contractors and advisors. Our insider trading policies and procedures are reasonably designed to promote compliance with insider trading laws, rules and regulations, and the Nasdaq listing standards. In addition, with regard to Kodiak’s trading in our own securities, it is our policy to comply with the federal securities laws and the applicable exchange listing requirements.</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Non-Employee Director Compensation</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Board reviews director compensation periodically to ensure that director compensation remains competitive such that we are able to recruit and retain qualified directors.</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Prior to the consummation of the Business Combination, Legacy Kodiak had no formal agreement or program under which non-employee directors received compensation for their service on the Legacy Kodiak board of directors (the “Legacy Kodiak Board”) or its committees, but Legacy Kodiak granted option awards to each of Messrs. Elshenawy and Goldman and Ms. Sverchek in connection with his or her initial appointment to the Legacy Kodiak Board in 2025, which options were assumed by us in connection with the Business Combination and are included in the Fiscal 2025 Director Compensation Table below. Legacy Kodiak also reimbursed non-employee directors for reasonable and necessary out-of-pocket expenses incurred in connection with attending board and committee meetings or performing other services in their capacities as non-employee directors.</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connection with the consummation of the Business Combination, the Board adopted a new compensation policy for our non-employee directors, which governs their cash and equity compensation following the consummation of the Business Combination (the “Director Compensation Policy”). Under our Director Compensation Policy, each eligible non-employee director will receive cash and equity compensation for board services described below, unless otherwise waived. We also will continue to reimburse our eligible non-employee directors for reasonable, customary, and documented travel expenses to board and committee meetings.</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Mr. Burnette does not receive additional compensation for his service as a director.</w:t>
      </w:r>
    </w:p>
    <w:p>
      <w:pPr>
        <w:pStyle w:val="TextBody"/>
        <w:bidi w:val="0"/>
        <w:spacing w:lineRule="auto" w:line="268" w:before="120" w:after="283"/>
        <w:jc w:val="left"/>
        <w:rPr>
          <w:rFonts w:ascii="Times New Roman;serif" w:hAnsi="Times New Roman;serif"/>
          <w:b/>
          <w:i/>
          <w:color w:val="000000"/>
          <w:sz w:val="20"/>
        </w:rPr>
      </w:pPr>
      <w:r>
        <w:rPr>
          <w:rFonts w:ascii="Times New Roman;serif" w:hAnsi="Times New Roman;serif"/>
          <w:b/>
          <w:i/>
          <w:color w:val="000000"/>
          <w:sz w:val="20"/>
        </w:rPr>
        <w:t>Director Compensation Policy</w:t>
      </w:r>
    </w:p>
    <w:p>
      <w:pPr>
        <w:pStyle w:val="TextBody"/>
        <w:bidi w:val="0"/>
        <w:spacing w:lineRule="auto" w:line="268" w:before="120" w:after="283"/>
        <w:jc w:val="left"/>
        <w:rPr>
          <w:rFonts w:ascii="Times New Roman;serif" w:hAnsi="Times New Roman;serif"/>
          <w:b/>
          <w:i/>
          <w:color w:val="000000"/>
          <w:sz w:val="20"/>
        </w:rPr>
      </w:pPr>
      <w:r>
        <w:rPr>
          <w:rFonts w:ascii="Times New Roman;serif" w:hAnsi="Times New Roman;serif"/>
          <w:b/>
          <w:i/>
          <w:color w:val="000000"/>
          <w:sz w:val="20"/>
        </w:rPr>
        <w:t xml:space="preserve">Cash Compensation </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Eligible non-employee directors are entitled to receive the following cash compensation for their services under the Director Compensation Policy:</w:t>
      </w:r>
    </w:p>
    <w:p>
      <w:pPr>
        <w:pStyle w:val="TextBody"/>
        <w:bidi w:val="0"/>
        <w:spacing w:lineRule="auto" w:line="268" w:before="120" w:after="120"/>
        <w:ind w:left="0" w:right="0" w:firstLine="130"/>
        <w:jc w:val="left"/>
        <w:rPr/>
      </w:pPr>
      <w:r>
        <w:rPr>
          <w:color w:val="000000"/>
        </w:rPr>
        <w:t>•</w:t>
      </w:r>
      <w:r>
        <w:rPr>
          <w:rFonts w:ascii="Times New Roman;serif" w:hAnsi="Times New Roman;serif"/>
          <w:b w:val="false"/>
          <w:color w:val="000000"/>
          <w:sz w:val="20"/>
        </w:rPr>
        <w:t>$60,000 per year for service as a member of the Board;</w:t>
      </w:r>
    </w:p>
    <w:p>
      <w:pPr>
        <w:pStyle w:val="TextBody"/>
        <w:bidi w:val="0"/>
        <w:spacing w:lineRule="auto" w:line="268" w:before="0" w:after="120"/>
        <w:ind w:left="0" w:right="0" w:firstLine="130"/>
        <w:jc w:val="left"/>
        <w:rPr/>
      </w:pPr>
      <w:r>
        <w:rPr>
          <w:color w:val="000000"/>
        </w:rPr>
        <w:t>•</w:t>
      </w:r>
      <w:r>
        <w:rPr>
          <w:rFonts w:ascii="Times New Roman;serif" w:hAnsi="Times New Roman;serif"/>
          <w:b w:val="false"/>
          <w:color w:val="000000"/>
          <w:sz w:val="20"/>
        </w:rPr>
        <w:t>$40,000 per year for service as non-employee chair of the Board;</w:t>
      </w:r>
    </w:p>
    <w:p>
      <w:pPr>
        <w:pStyle w:val="TextBody"/>
        <w:bidi w:val="0"/>
        <w:spacing w:lineRule="auto" w:line="268" w:before="0" w:after="120"/>
        <w:ind w:left="0" w:right="0" w:firstLine="130"/>
        <w:jc w:val="left"/>
        <w:rPr/>
      </w:pPr>
      <w:r>
        <w:rPr>
          <w:color w:val="000000"/>
        </w:rPr>
        <w:t>•</w:t>
      </w:r>
      <w:r>
        <w:rPr>
          <w:rFonts w:ascii="Times New Roman;serif" w:hAnsi="Times New Roman;serif"/>
          <w:b w:val="false"/>
          <w:color w:val="000000"/>
          <w:sz w:val="20"/>
        </w:rPr>
        <w:t>$20,000 per year for service as chair of the Audit Committee;</w:t>
      </w:r>
    </w:p>
    <w:p>
      <w:pPr>
        <w:pStyle w:val="TextBody"/>
        <w:bidi w:val="0"/>
        <w:spacing w:lineRule="auto" w:line="268" w:before="0" w:after="120"/>
        <w:ind w:left="0" w:right="0" w:firstLine="130"/>
        <w:jc w:val="left"/>
        <w:rPr/>
      </w:pPr>
      <w:r>
        <w:rPr>
          <w:color w:val="000000"/>
        </w:rPr>
        <w:t>•</w:t>
      </w:r>
      <w:r>
        <w:rPr>
          <w:rFonts w:ascii="Times New Roman;serif" w:hAnsi="Times New Roman;serif"/>
          <w:b w:val="false"/>
          <w:color w:val="000000"/>
          <w:sz w:val="20"/>
        </w:rPr>
        <w:t>$10,000 per year for service as a member of the Audit Committee;</w:t>
      </w:r>
    </w:p>
    <w:p>
      <w:pPr>
        <w:pStyle w:val="TextBody"/>
        <w:bidi w:val="0"/>
        <w:spacing w:lineRule="auto" w:line="268" w:before="0" w:after="120"/>
        <w:ind w:left="0" w:right="0" w:firstLine="130"/>
        <w:jc w:val="left"/>
        <w:rPr/>
      </w:pPr>
      <w:r>
        <w:rPr>
          <w:color w:val="000000"/>
        </w:rPr>
        <w:t>•</w:t>
      </w:r>
      <w:r>
        <w:rPr>
          <w:rFonts w:ascii="Times New Roman;serif" w:hAnsi="Times New Roman;serif"/>
          <w:b w:val="false"/>
          <w:color w:val="000000"/>
          <w:sz w:val="20"/>
        </w:rPr>
        <w:t>$15,000 per year for service as chair of the Compensation Committee;</w:t>
      </w:r>
    </w:p>
    <w:p>
      <w:pPr>
        <w:pStyle w:val="TextBody"/>
        <w:bidi w:val="0"/>
        <w:spacing w:lineRule="auto" w:line="268" w:before="0" w:after="120"/>
        <w:ind w:left="0" w:right="0" w:firstLine="130"/>
        <w:jc w:val="left"/>
        <w:rPr/>
      </w:pPr>
      <w:r>
        <w:rPr>
          <w:color w:val="000000"/>
        </w:rPr>
        <w:t>•</w:t>
      </w:r>
      <w:r>
        <w:rPr>
          <w:rFonts w:ascii="Times New Roman;serif" w:hAnsi="Times New Roman;serif"/>
          <w:b w:val="false"/>
          <w:color w:val="000000"/>
          <w:sz w:val="20"/>
        </w:rPr>
        <w:t>$7,500 per year for service as a member of the Compensation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474345"/>
                <wp:effectExtent l="0" t="0" r="0" b="0"/>
                <wp:wrapNone/>
                <wp:docPr id="122" name="Frame118"/>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before="0" w:after="240"/>
        <w:jc w:val="center"/>
        <w:rPr/>
      </w:pPr>
      <w:r>
        <w:rPr/>
      </w:r>
    </w:p>
    <w:p>
      <w:pPr>
        <w:pStyle w:val="TextBody"/>
        <w:bidi w:val="0"/>
        <w:spacing w:lineRule="auto" w:line="268" w:before="0" w:after="120"/>
        <w:ind w:left="0" w:right="0" w:firstLine="130"/>
        <w:jc w:val="left"/>
        <w:rPr/>
      </w:pPr>
      <w:r>
        <w:rPr>
          <w:color w:val="000000"/>
        </w:rPr>
        <w:t>•</w:t>
      </w:r>
      <w:r>
        <w:rPr>
          <w:rFonts w:ascii="Times New Roman;serif" w:hAnsi="Times New Roman;serif"/>
          <w:b w:val="false"/>
          <w:color w:val="000000"/>
          <w:sz w:val="20"/>
        </w:rPr>
        <w:t>$10,000 per year for service as chair of the Nominating and Corporate Governance Committee; and</w:t>
      </w:r>
    </w:p>
    <w:p>
      <w:pPr>
        <w:pStyle w:val="TextBody"/>
        <w:bidi w:val="0"/>
        <w:spacing w:lineRule="auto" w:line="268" w:before="0" w:after="0"/>
        <w:ind w:left="0" w:right="0" w:firstLine="130"/>
        <w:jc w:val="left"/>
        <w:rPr/>
      </w:pPr>
      <w:r>
        <w:rPr>
          <w:color w:val="000000"/>
        </w:rPr>
        <w:t>•</w:t>
      </w:r>
      <w:r>
        <w:rPr>
          <w:rFonts w:ascii="Times New Roman;serif" w:hAnsi="Times New Roman;serif"/>
          <w:b w:val="false"/>
          <w:color w:val="000000"/>
          <w:sz w:val="20"/>
        </w:rPr>
        <w:t>$5,000 per year for service as a member of the Nominating and Corporate Governance Committee.</w:t>
      </w:r>
    </w:p>
    <w:p>
      <w:pPr>
        <w:pStyle w:val="TextBody"/>
        <w:bidi w:val="0"/>
        <w:spacing w:lineRule="auto" w:line="26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eligible non-employee director who serves as the chair of a committee receives only the additional annual fee as the chair of the committee and not the additional annual fee as a member of the committee. All cash payments to non-employee directors are paid quarterly in arrears on a prorated basis.</w:t>
      </w:r>
    </w:p>
    <w:p>
      <w:pPr>
        <w:pStyle w:val="TextBody"/>
        <w:bidi w:val="0"/>
        <w:spacing w:lineRule="auto" w:line="268" w:before="120" w:after="283"/>
        <w:jc w:val="left"/>
        <w:rPr>
          <w:rFonts w:ascii="Times New Roman;serif" w:hAnsi="Times New Roman;serif"/>
          <w:b/>
          <w:i/>
          <w:color w:val="000000"/>
          <w:sz w:val="20"/>
        </w:rPr>
      </w:pPr>
      <w:r>
        <w:rPr>
          <w:rFonts w:ascii="Times New Roman;serif" w:hAnsi="Times New Roman;serif"/>
          <w:b/>
          <w:i/>
          <w:color w:val="000000"/>
          <w:sz w:val="20"/>
        </w:rPr>
        <w:t>Equity Compensation</w:t>
      </w:r>
    </w:p>
    <w:p>
      <w:pPr>
        <w:pStyle w:val="TextBody"/>
        <w:bidi w:val="0"/>
        <w:spacing w:lineRule="auto" w:line="26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Initial Award</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Director Compensation Policy, each person who first becomes a non-employee director following the Closing Date (excluding for this purpose, individuals who were non-employee directors of Legacy Kodiak prior to the Closing Date) automatically will be granted the following awards of restricted stock units (“RSUs”) covering a number of shares having a grant date fair value (determined in accordance with GAAP) equal to $390,000, rounded to the nearest whole share (an “Initial Award”). The Initial Award will be made on the first trading date on or after the date on which such individual first becomes a non-employee director, whether through election by our stockholders or appointment by our Board to fill a vacancy. If an individual was a member of our Board and also an employee, becoming a non-employee director due to termination of employment will not entitle the non-employee director to an Initial Award. </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Subject to our Director Compensation Policy, one-third (1/3rd) of the RSUs subject to an Initial Award will vest on each anniversary of the grant date, subject to the non-employee director continuing to be a service provider to us through the applicable vesting date.</w:t>
      </w:r>
    </w:p>
    <w:p>
      <w:pPr>
        <w:pStyle w:val="TextBody"/>
        <w:bidi w:val="0"/>
        <w:spacing w:lineRule="auto" w:line="26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Annual Award</w:t>
      </w:r>
    </w:p>
    <w:p>
      <w:pPr>
        <w:pStyle w:val="TextBody"/>
        <w:bidi w:val="0"/>
        <w:spacing w:lineRule="auto" w:line="26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Director Compensation Policy, each eligible non-employee director automatically will be granted, on the date of each annual meeting of our stockholders starting in 2026, an annual award of RSUs covering a number of shares having a grant date fair value (determined in accordance with GAAP) of $195,000, rounded to the nearest whole share (the “Annual Award”) subject to the non-employee director remaining a service provider on the grant date; provided, however, that if an individual commenced service as a non-employee director after the date of the annual meeting that occurred immediately prior to such annual meeting, then the Annual Award will be prorated based on the number of whole months that the individual served as a non-employee director prior to the Annual Award’s grant date during the 12- month period immediately preceding such annual meeting. Subject to the terms of our Director Compensation Policy, an Annual Award will vest on the earlier of the first anniversary of the grant date or our next annual meeting of stockholders, subject to the eligible non-employee director continuing to be a service provider to us through the applicable vesting date.</w:t>
      </w:r>
    </w:p>
    <w:p>
      <w:pPr>
        <w:pStyle w:val="TextBody"/>
        <w:bidi w:val="0"/>
        <w:spacing w:lineRule="auto" w:line="268" w:before="120" w:after="283"/>
        <w:jc w:val="left"/>
        <w:rPr>
          <w:rFonts w:ascii="Times New Roman;serif" w:hAnsi="Times New Roman;serif"/>
          <w:b/>
          <w:i/>
          <w:color w:val="000000"/>
          <w:sz w:val="20"/>
        </w:rPr>
      </w:pPr>
      <w:r>
        <w:rPr>
          <w:rFonts w:ascii="Times New Roman;serif" w:hAnsi="Times New Roman;serif"/>
          <w:b/>
          <w:i/>
          <w:color w:val="000000"/>
          <w:sz w:val="20"/>
        </w:rPr>
        <w:t>Other Terms</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Director Compensation Policy includes a maximum annual limit of $750,000 of cash compensation and equity awards that may be paid, issued, or granted to a non-employee director in any fiscal year, increased to $1,000,000 in the initial fiscal year of service as a non-employee director. For purposes of this limitation, the value of equity awards are based on the grant date fair value (determined in accordance with GAAP). Any cash compensation paid or equity awards granted to a person for his or her services as a consultant (other than as a non-employee director), does not count for purposes of the limitation. The maximum limit does not reflect the intended size of any potential compensation or equity awards to our non-employee directors.</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the event of a “change in control” (as defined in the 2025 Plan), each non-employee director will fully vest in his or her outstanding equity awards under the 2025 Plan, including any Initial Award or Annual Award, provided that the eligible non-employee director continues to be a non-employee director through such date.</w:t>
      </w:r>
    </w:p>
    <w:p>
      <w:pPr>
        <w:pStyle w:val="TextBody"/>
        <w:bidi w:val="0"/>
        <w:spacing w:lineRule="auto" w:line="268" w:before="120" w:after="283"/>
        <w:jc w:val="left"/>
        <w:rPr>
          <w:rFonts w:ascii="Times New Roman;serif" w:hAnsi="Times New Roman;serif"/>
          <w:b/>
          <w:i/>
          <w:color w:val="000000"/>
          <w:sz w:val="20"/>
        </w:rPr>
      </w:pPr>
      <w:r>
        <w:rPr>
          <w:rFonts w:ascii="Times New Roman;serif" w:hAnsi="Times New Roman;serif"/>
          <w:b/>
          <w:i/>
          <w:color w:val="000000"/>
          <w:sz w:val="20"/>
        </w:rPr>
        <w:t>Fiscal 2025 Director Compensation Table</w:t>
      </w:r>
    </w:p>
    <w:p>
      <w:pPr>
        <w:pStyle w:val="TextBody"/>
        <w:bidi w:val="0"/>
        <w:spacing w:lineRule="auto" w:line="268" w:before="120" w:after="120"/>
        <w:ind w:left="0" w:right="0" w:firstLine="490"/>
        <w:jc w:val="left"/>
        <w:rPr/>
      </w:pPr>
      <w:r>
        <w:rPr>
          <w:rFonts w:ascii="Times New Roman;serif" w:hAnsi="Times New Roman;serif"/>
          <w:b w:val="false"/>
          <w:color w:val="000000"/>
          <w:sz w:val="20"/>
        </w:rPr>
        <w:t xml:space="preserve">The following table sets forth all of the compensation awarded to, earned by or paid to our non-employee directors for the fiscal year ended December 31, 2025. </w:t>
      </w:r>
      <w:r>
        <w:rPr>
          <w:rFonts w:ascii="Times New Roman;serif" w:hAnsi="Times New Roman;serif"/>
          <w:b w:val="false"/>
          <w:color w:val="000000"/>
          <w:sz w:val="20"/>
          <w:shd w:fill="FFFFFF" w:val="clear"/>
        </w:rPr>
        <w:t xml:space="preserve">Mr. Burnette receives no additional compensation for his service as a director. </w:t>
      </w:r>
      <w:r>
        <w:rPr>
          <w:rFonts w:ascii="Times New Roman;serif" w:hAnsi="Times New Roman;serif"/>
          <w:b w:val="false"/>
          <w:color w:val="000000"/>
          <w:sz w:val="20"/>
        </w:rPr>
        <w:t>See the section titled “</w:t>
      </w:r>
      <w:r>
        <w:rPr>
          <w:rFonts w:ascii="Times New Roman;serif" w:hAnsi="Times New Roman;serif"/>
          <w:b w:val="false"/>
          <w:i/>
          <w:color w:val="000000"/>
          <w:sz w:val="20"/>
        </w:rPr>
        <w:t>Executive Compensation</w:t>
      </w:r>
      <w:r>
        <w:rPr>
          <w:color w:val="000000"/>
        </w:rPr>
        <w:t xml:space="preserve">” </w:t>
      </w:r>
      <w:r>
        <w:rPr>
          <w:rFonts w:ascii="Times New Roman;serif" w:hAnsi="Times New Roman;serif"/>
          <w:b w:val="false"/>
          <w:color w:val="000000"/>
          <w:sz w:val="20"/>
        </w:rPr>
        <w:t>for additional information regarding Mr. Burnette’s compensation.</w:t>
      </w:r>
    </w:p>
    <w:tbl>
      <w:tblPr>
        <w:tblW w:w="7051" w:type="dxa"/>
        <w:jc w:val="left"/>
        <w:tblInd w:w="0" w:type="dxa"/>
        <w:tblLayout w:type="fixed"/>
        <w:tblCellMar>
          <w:top w:w="28" w:type="dxa"/>
          <w:left w:w="28" w:type="dxa"/>
          <w:bottom w:w="28" w:type="dxa"/>
          <w:right w:w="28" w:type="dxa"/>
        </w:tblCellMar>
      </w:tblPr>
      <w:tblGrid>
        <w:gridCol w:w="717"/>
        <w:gridCol w:w="629"/>
        <w:gridCol w:w="634"/>
        <w:gridCol w:w="804"/>
        <w:gridCol w:w="804"/>
        <w:gridCol w:w="807"/>
        <w:gridCol w:w="559"/>
        <w:gridCol w:w="559"/>
        <w:gridCol w:w="562"/>
        <w:gridCol w:w="285"/>
        <w:gridCol w:w="285"/>
        <w:gridCol w:w="406"/>
      </w:tblGrid>
      <w:tr>
        <w:trPr/>
        <w:tc>
          <w:tcPr>
            <w:tcW w:w="71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Name</w:t>
            </w:r>
          </w:p>
        </w:tc>
        <w:tc>
          <w:tcPr>
            <w:tcW w:w="241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Fees Earned or Paid in Cash ($)</w:t>
            </w:r>
          </w:p>
        </w:tc>
        <w:tc>
          <w:tcPr>
            <w:tcW w:w="1680"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6"/>
              </w:rPr>
              <w:t>Option Awards ($)</w:t>
            </w:r>
            <w:r>
              <w:rPr>
                <w:rFonts w:ascii="Times New Roman;serif" w:hAnsi="Times New Roman;serif"/>
                <w:b/>
                <w:color w:val="000000"/>
                <w:sz w:val="8"/>
              </w:rPr>
              <w:t>(1)(2)</w:t>
            </w:r>
          </w:p>
        </w:tc>
        <w:tc>
          <w:tcPr>
            <w:tcW w:w="97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Total ($)</w:t>
            </w:r>
          </w:p>
        </w:tc>
      </w:tr>
      <w:tr>
        <w:trPr/>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Mohamed Elshenawy</w:t>
            </w:r>
            <w:r>
              <w:rPr>
                <w:rFonts w:ascii="Times New Roman;serif" w:hAnsi="Times New Roman;serif"/>
                <w:b w:val="false"/>
                <w:color w:val="000000"/>
                <w:sz w:val="10"/>
              </w:rPr>
              <w:t>(3)</w:t>
            </w:r>
          </w:p>
        </w:tc>
        <w:tc>
          <w:tcPr>
            <w:tcW w:w="2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19,466</w:t>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1,198,093</w:t>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1,217,559</w:t>
            </w:r>
          </w:p>
        </w:tc>
      </w:tr>
      <w:tr>
        <w:trPr/>
        <w:tc>
          <w:tcPr>
            <w:tcW w:w="1980"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Kenneth Goldman</w:t>
            </w:r>
            <w:r>
              <w:rPr>
                <w:rFonts w:ascii="Times New Roman;serif" w:hAnsi="Times New Roman;serif"/>
                <w:b w:val="false"/>
                <w:color w:val="000000"/>
                <w:sz w:val="10"/>
              </w:rPr>
              <w:t>(3)</w:t>
            </w:r>
          </w:p>
        </w:tc>
        <w:tc>
          <w:tcPr>
            <w:tcW w:w="241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22,822</w:t>
            </w:r>
          </w:p>
        </w:tc>
        <w:tc>
          <w:tcPr>
            <w:tcW w:w="168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1,198,093</w:t>
            </w:r>
          </w:p>
        </w:tc>
        <w:tc>
          <w:tcPr>
            <w:tcW w:w="97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1,220,915</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Ross Kestin</w:t>
            </w:r>
            <w:r>
              <w:rPr>
                <w:rFonts w:ascii="Times New Roman;serif" w:hAnsi="Times New Roman;serif"/>
                <w:b w:val="false"/>
                <w:color w:val="000000"/>
                <w:sz w:val="10"/>
              </w:rPr>
              <w:t>(4)</w:t>
            </w:r>
          </w:p>
        </w:tc>
        <w:tc>
          <w:tcPr>
            <w:tcW w:w="24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1980"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James Reed</w:t>
            </w:r>
            <w:r>
              <w:rPr>
                <w:rFonts w:ascii="Times New Roman;serif" w:hAnsi="Times New Roman;serif"/>
                <w:b w:val="false"/>
                <w:color w:val="000000"/>
                <w:sz w:val="10"/>
              </w:rPr>
              <w:t>(3)</w:t>
            </w:r>
          </w:p>
        </w:tc>
        <w:tc>
          <w:tcPr>
            <w:tcW w:w="241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26,849</w:t>
            </w:r>
          </w:p>
        </w:tc>
        <w:tc>
          <w:tcPr>
            <w:tcW w:w="168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w:t>
            </w:r>
          </w:p>
        </w:tc>
        <w:tc>
          <w:tcPr>
            <w:tcW w:w="97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26,849</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Allyson Satin</w:t>
            </w:r>
            <w:r>
              <w:rPr>
                <w:rFonts w:ascii="Times New Roman;serif" w:hAnsi="Times New Roman;serif"/>
                <w:b w:val="false"/>
                <w:color w:val="000000"/>
                <w:sz w:val="10"/>
              </w:rPr>
              <w:t>(5)</w:t>
            </w:r>
          </w:p>
        </w:tc>
        <w:tc>
          <w:tcPr>
            <w:tcW w:w="24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1980"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Kristin Sverchek</w:t>
            </w:r>
            <w:r>
              <w:rPr>
                <w:rFonts w:ascii="Times New Roman;serif" w:hAnsi="Times New Roman;serif"/>
                <w:b w:val="false"/>
                <w:color w:val="000000"/>
                <w:sz w:val="10"/>
              </w:rPr>
              <w:t>(3)</w:t>
            </w:r>
          </w:p>
        </w:tc>
        <w:tc>
          <w:tcPr>
            <w:tcW w:w="241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21,479</w:t>
            </w:r>
          </w:p>
        </w:tc>
        <w:tc>
          <w:tcPr>
            <w:tcW w:w="168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1,198,093</w:t>
            </w:r>
          </w:p>
        </w:tc>
        <w:tc>
          <w:tcPr>
            <w:tcW w:w="97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1,219,572</w:t>
            </w:r>
          </w:p>
        </w:tc>
      </w:tr>
      <w:tr>
        <w:trPr/>
        <w:tc>
          <w:tcPr>
            <w:tcW w:w="1980" w:type="dxa"/>
            <w:gridSpan w:val="3"/>
            <w:tcBorders/>
            <w:shd w:fill="CEE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Scott Tobin</w:t>
            </w:r>
          </w:p>
        </w:tc>
        <w:tc>
          <w:tcPr>
            <w:tcW w:w="2415" w:type="dxa"/>
            <w:gridSpan w:val="3"/>
            <w:tcBorders/>
            <w:shd w:fill="CEE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22,822</w:t>
            </w:r>
          </w:p>
        </w:tc>
        <w:tc>
          <w:tcPr>
            <w:tcW w:w="1680" w:type="dxa"/>
            <w:gridSpan w:val="3"/>
            <w:tcBorders/>
            <w:shd w:fill="CEE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w:t>
            </w:r>
          </w:p>
        </w:tc>
        <w:tc>
          <w:tcPr>
            <w:tcW w:w="976" w:type="dxa"/>
            <w:gridSpan w:val="3"/>
            <w:tcBorders/>
            <w:shd w:fill="CEE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22,822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474345"/>
                <wp:effectExtent l="0" t="0" r="0" b="0"/>
                <wp:wrapNone/>
                <wp:docPr id="123" name="Frame119"/>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before="0" w:after="240"/>
        <w:jc w:val="center"/>
        <w:rPr/>
      </w:pPr>
      <w:r>
        <w:rPr/>
      </w:r>
    </w:p>
    <w:tbl>
      <w:tblPr>
        <w:tblW w:w="10205" w:type="dxa"/>
        <w:jc w:val="left"/>
        <w:tblInd w:w="0" w:type="dxa"/>
        <w:tblLayout w:type="fixed"/>
        <w:tblCellMar>
          <w:top w:w="28" w:type="dxa"/>
          <w:left w:w="28" w:type="dxa"/>
          <w:bottom w:w="28" w:type="dxa"/>
          <w:right w:w="28" w:type="dxa"/>
        </w:tblCellMar>
      </w:tblPr>
      <w:tblGrid>
        <w:gridCol w:w="923"/>
        <w:gridCol w:w="813"/>
        <w:gridCol w:w="813"/>
        <w:gridCol w:w="813"/>
        <w:gridCol w:w="813"/>
        <w:gridCol w:w="813"/>
        <w:gridCol w:w="813"/>
        <w:gridCol w:w="813"/>
        <w:gridCol w:w="813"/>
        <w:gridCol w:w="813"/>
        <w:gridCol w:w="813"/>
        <w:gridCol w:w="1152"/>
      </w:tblGrid>
      <w:tr>
        <w:trPr/>
        <w:tc>
          <w:tcPr>
            <w:tcW w:w="92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w:t>
            </w:r>
          </w:p>
        </w:tc>
      </w:tr>
      <w:tr>
        <w:trPr/>
        <w:tc>
          <w:tcPr>
            <w:tcW w:w="10205" w:type="dxa"/>
            <w:gridSpan w:val="12"/>
            <w:tcBorders/>
            <w:tcMar>
              <w:top w:w="0" w:type="dxa"/>
              <w:left w:w="0" w:type="dxa"/>
              <w:bottom w:w="0" w:type="dxa"/>
              <w:right w:w="0" w:type="dxa"/>
            </w:tcMar>
            <w:vAlign w:val="center"/>
          </w:tcPr>
          <w:p>
            <w:pPr>
              <w:pStyle w:val="TableContents"/>
              <w:bidi w:val="0"/>
              <w:spacing w:lineRule="auto" w:line="268" w:before="0" w:after="0"/>
              <w:ind w:left="0" w:right="0" w:hanging="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All option awards were originally granted under the Legacy Kodiak 2018 Equity Incentive Plan (the “2018 Plan”) and have since been assumed by us in the Business Combination. The amounts reported represent the aggregate grant-date fair value of the stock options awarded to the directors in fiscal 2025, computed in accordance ASC 718, excluding the effect of any estimated forfeitures. Assumptions used in the calculation of this amount are included in Note 14 to our audited consolidated financial statements included in this Annual Report.</w:t>
            </w:r>
          </w:p>
        </w:tc>
      </w:tr>
      <w:tr>
        <w:trPr/>
        <w:tc>
          <w:tcPr>
            <w:tcW w:w="10205" w:type="dxa"/>
            <w:gridSpan w:val="12"/>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The following table lists all outstanding equity awards held by non-employee directors as of December 31, 2025.</w:t>
            </w:r>
          </w:p>
        </w:tc>
      </w:tr>
    </w:tbl>
    <w:tbl>
      <w:tblPr>
        <w:tblW w:w="5489" w:type="dxa"/>
        <w:jc w:val="center"/>
        <w:tblInd w:w="0" w:type="dxa"/>
        <w:tblLayout w:type="fixed"/>
        <w:tblCellMar>
          <w:top w:w="28" w:type="dxa"/>
          <w:left w:w="28" w:type="dxa"/>
          <w:bottom w:w="28" w:type="dxa"/>
          <w:right w:w="28" w:type="dxa"/>
        </w:tblCellMar>
      </w:tblPr>
      <w:tblGrid>
        <w:gridCol w:w="586"/>
        <w:gridCol w:w="513"/>
        <w:gridCol w:w="521"/>
        <w:gridCol w:w="600"/>
        <w:gridCol w:w="600"/>
        <w:gridCol w:w="600"/>
        <w:gridCol w:w="600"/>
        <w:gridCol w:w="600"/>
        <w:gridCol w:w="869"/>
      </w:tblGrid>
      <w:tr>
        <w:trPr/>
        <w:tc>
          <w:tcPr>
            <w:tcW w:w="58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Name</w:t>
            </w:r>
          </w:p>
        </w:tc>
        <w:tc>
          <w:tcPr>
            <w:tcW w:w="3869" w:type="dxa"/>
            <w:gridSpan w:val="6"/>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Number of Shares Underlying Outstanding Options</w:t>
            </w:r>
          </w:p>
        </w:tc>
      </w:tr>
      <w:tr>
        <w:trPr/>
        <w:tc>
          <w:tcPr>
            <w:tcW w:w="162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Mohamed Elshenawy</w:t>
            </w:r>
          </w:p>
        </w:tc>
        <w:tc>
          <w:tcPr>
            <w:tcW w:w="3869" w:type="dxa"/>
            <w:gridSpan w:val="6"/>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183,095</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Kenneth Goldman</w:t>
            </w:r>
          </w:p>
        </w:tc>
        <w:tc>
          <w:tcPr>
            <w:tcW w:w="3869" w:type="dxa"/>
            <w:gridSpan w:val="6"/>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183,095</w:t>
            </w:r>
          </w:p>
        </w:tc>
      </w:tr>
      <w:tr>
        <w:trPr/>
        <w:tc>
          <w:tcPr>
            <w:tcW w:w="1620" w:type="dxa"/>
            <w:gridSpan w:val="3"/>
            <w:tcBorders/>
            <w:shd w:fill="CFF0FC"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Ross Kestin</w:t>
            </w:r>
          </w:p>
        </w:tc>
        <w:tc>
          <w:tcPr>
            <w:tcW w:w="3869" w:type="dxa"/>
            <w:gridSpan w:val="6"/>
            <w:tcBorders/>
            <w:shd w:fill="CFF0FC"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James Reed</w:t>
            </w:r>
          </w:p>
        </w:tc>
        <w:tc>
          <w:tcPr>
            <w:tcW w:w="3869" w:type="dxa"/>
            <w:gridSpan w:val="6"/>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1,237,151</w:t>
            </w:r>
          </w:p>
        </w:tc>
      </w:tr>
      <w:tr>
        <w:trPr/>
        <w:tc>
          <w:tcPr>
            <w:tcW w:w="1620" w:type="dxa"/>
            <w:gridSpan w:val="3"/>
            <w:tcBorders/>
            <w:shd w:fill="CFF0FC"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Allyson Satin</w:t>
            </w:r>
          </w:p>
        </w:tc>
        <w:tc>
          <w:tcPr>
            <w:tcW w:w="3869" w:type="dxa"/>
            <w:gridSpan w:val="6"/>
            <w:tcBorders/>
            <w:shd w:fill="CFF0FC"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Kristin Sverchek</w:t>
            </w:r>
          </w:p>
        </w:tc>
        <w:tc>
          <w:tcPr>
            <w:tcW w:w="3869" w:type="dxa"/>
            <w:gridSpan w:val="6"/>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183,095</w:t>
            </w:r>
          </w:p>
        </w:tc>
      </w:tr>
      <w:tr>
        <w:trPr/>
        <w:tc>
          <w:tcPr>
            <w:tcW w:w="1620" w:type="dxa"/>
            <w:gridSpan w:val="3"/>
            <w:tcBorders/>
            <w:shd w:fill="CEE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Scott Tobin</w:t>
            </w:r>
          </w:p>
        </w:tc>
        <w:tc>
          <w:tcPr>
            <w:tcW w:w="3869" w:type="dxa"/>
            <w:gridSpan w:val="6"/>
            <w:tcBorders/>
            <w:shd w:fill="CEE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10205" w:type="dxa"/>
        <w:jc w:val="left"/>
        <w:tblInd w:w="0" w:type="dxa"/>
        <w:tblLayout w:type="fixed"/>
        <w:tblCellMar>
          <w:top w:w="28" w:type="dxa"/>
          <w:left w:w="28" w:type="dxa"/>
          <w:bottom w:w="28" w:type="dxa"/>
          <w:right w:w="28" w:type="dxa"/>
        </w:tblCellMar>
      </w:tblPr>
      <w:tblGrid>
        <w:gridCol w:w="3264"/>
        <w:gridCol w:w="2870"/>
        <w:gridCol w:w="4071"/>
      </w:tblGrid>
      <w:tr>
        <w:trPr/>
        <w:tc>
          <w:tcPr>
            <w:tcW w:w="3264"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In connection with the Business Combination, each of Messrs. Elshenawy, Goldman and Reed and Ms. Sverchek received certain RSU grants in respect of outstanding Legacy Kodiak Options prior to the Effective Time (“Earnout RSUs”). The Earnout RSUs are not intended to be compensatory and have therefore been excluded from tabular disclosure in this section.</w:t>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Ross Kestin served as member of the Legacy Kodiak Board until July 2025.</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Allyson Satin waived payment of her cash compensation for fiscal year 2025.</w:t>
            </w:r>
          </w:p>
        </w:tc>
      </w:tr>
    </w:tbl>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Delinquent Section 16(a) Reports</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pStyle w:val="TextBody"/>
        <w:bidi w:val="0"/>
        <w:spacing w:lineRule="auto" w:line="268" w:before="12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SEC regulations require us to identify in this Form 10-K anyone who filed a required report late during the most recent fiscal year. Based solely on our review of copies of such forms that we have received, or written representations from reporting persons, we believe that during the fiscal year ended December 31, 2025, all executive officers, directors and greater than 10% stockholders complied with all applicable SEC filing requirements, except that one Form 4 report was filed one day late for each of Ms. Major and Mr. Wiesinger, in each case due to administrative error in connection with reporting the correct number of restricted stock units issued on September 24, 2025, the Closing Date of the Merger.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20" w:after="24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68" w:before="0" w:after="0"/>
        <w:ind w:left="0" w:right="0" w:firstLine="490"/>
        <w:jc w:val="left"/>
        <w:rPr/>
      </w:pPr>
      <w:r>
        <w:rPr>
          <w:rFonts w:ascii="Times New Roman;serif" w:hAnsi="Times New Roman;serif"/>
          <w:b w:val="false"/>
          <w:color w:val="000000"/>
          <w:sz w:val="20"/>
        </w:rPr>
        <w:t>This section provides an overview of our executive compensation programs for the executive officers who are named in the “</w:t>
      </w:r>
      <w:r>
        <w:rPr>
          <w:rFonts w:ascii="Times New Roman;serif" w:hAnsi="Times New Roman;serif"/>
          <w:b w:val="false"/>
          <w:i/>
          <w:color w:val="000000"/>
          <w:sz w:val="20"/>
        </w:rPr>
        <w:t>Named Executive Officers Summary Compensation Table</w:t>
      </w:r>
      <w:r>
        <w:rPr>
          <w:color w:val="000000"/>
        </w:rPr>
        <w:t xml:space="preserve">” </w:t>
      </w:r>
      <w:r>
        <w:rPr>
          <w:rFonts w:ascii="Times New Roman;serif" w:hAnsi="Times New Roman;serif"/>
          <w:b w:val="false"/>
          <w:color w:val="000000"/>
          <w:sz w:val="20"/>
        </w:rPr>
        <w:t xml:space="preserve">below, including a narrative description of the material factors necessary to understand the information disclosed therein. We are considered an emerging growth company for purposes of the SEC’s executive compensation disclosure rules. In accordance with such rules, our reporting obligations extend only to the individuals serving as our Chief Executive Officer and our two other most highly compensated executive officers. </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the consummation of the Business Combination, we developed and adopted an executive compensation program that is designed to align compensation with our business objectives and the creation of stockholder value, while enabling us to attract, retain, incentivize and reward individuals who contribute to our long-term success. Decisions on the executive compensation program made by the Compensation Committee. </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For the fiscal year ended December 31, 2025, our named executive officers were:</w:t>
      </w:r>
    </w:p>
    <w:p>
      <w:pPr>
        <w:pStyle w:val="TextBody"/>
        <w:bidi w:val="0"/>
        <w:spacing w:lineRule="auto" w:line="268" w:before="120" w:after="283"/>
        <w:ind w:left="0" w:right="0" w:firstLine="130"/>
        <w:jc w:val="left"/>
        <w:rPr/>
      </w:pPr>
      <w:r>
        <w:rPr>
          <w:color w:val="000000"/>
        </w:rPr>
        <w:t>•</w:t>
      </w:r>
      <w:r>
        <w:rPr>
          <w:rFonts w:ascii="Times New Roman;serif" w:hAnsi="Times New Roman;serif"/>
          <w:b w:val="false"/>
          <w:color w:val="000000"/>
          <w:sz w:val="20"/>
        </w:rPr>
        <w:t>Don Burnette - Chief Executive Officer</w:t>
      </w:r>
    </w:p>
    <w:p>
      <w:pPr>
        <w:pStyle w:val="TextBody"/>
        <w:bidi w:val="0"/>
        <w:spacing w:lineRule="auto" w:line="268" w:before="120" w:after="283"/>
        <w:ind w:left="0" w:right="0" w:firstLine="130"/>
        <w:jc w:val="left"/>
        <w:rPr/>
      </w:pPr>
      <w:r>
        <w:rPr>
          <w:color w:val="000000"/>
        </w:rPr>
        <w:t>•</w:t>
      </w:r>
      <w:r>
        <w:rPr>
          <w:rFonts w:ascii="Times New Roman;serif" w:hAnsi="Times New Roman;serif"/>
          <w:b w:val="false"/>
          <w:color w:val="000000"/>
          <w:sz w:val="20"/>
        </w:rPr>
        <w:t>Surajit Datta - Chief Financial Officer</w:t>
      </w:r>
    </w:p>
    <w:p>
      <w:pPr>
        <w:pStyle w:val="TextBody"/>
        <w:bidi w:val="0"/>
        <w:spacing w:lineRule="auto" w:line="268" w:before="120" w:after="283"/>
        <w:ind w:left="0" w:right="0" w:firstLine="130"/>
        <w:jc w:val="left"/>
        <w:rPr/>
      </w:pPr>
      <w:r>
        <w:rPr>
          <w:color w:val="000000"/>
        </w:rPr>
        <w:t>•</w:t>
      </w:r>
      <w:r>
        <w:rPr>
          <w:rFonts w:ascii="Times New Roman;serif" w:hAnsi="Times New Roman;serif"/>
          <w:b w:val="false"/>
          <w:color w:val="000000"/>
          <w:sz w:val="20"/>
        </w:rPr>
        <w:t>Michael Wiesinger - Chief Operating Officer</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This discussion may contain forward-looking statements that are based on our current plans, considerations, expectations and determinations regarding future compensation programs.</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Named Executive Officers Summary Compensation Table</w:t>
      </w:r>
    </w:p>
    <w:p>
      <w:pPr>
        <w:pStyle w:val="TextBody"/>
        <w:bidi w:val="0"/>
        <w:spacing w:lineRule="auto" w:line="26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information concerning the compensation of our named executive officers for the fiscal years ended December 31, 2024 and 2025, except in the case of Mr. Datta who was not a named executive officer for the fiscal year ended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474345"/>
                <wp:effectExtent l="0" t="0" r="0" b="0"/>
                <wp:wrapNone/>
                <wp:docPr id="124" name="Frame120"/>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before="0" w:after="240"/>
        <w:jc w:val="center"/>
        <w:rPr/>
      </w:pPr>
      <w:r>
        <w:rPr/>
      </w:r>
    </w:p>
    <w:tbl>
      <w:tblPr>
        <w:tblW w:w="10205" w:type="dxa"/>
        <w:jc w:val="left"/>
        <w:tblInd w:w="0" w:type="dxa"/>
        <w:tblLayout w:type="fixed"/>
        <w:tblCellMar>
          <w:top w:w="28" w:type="dxa"/>
          <w:left w:w="28" w:type="dxa"/>
          <w:bottom w:w="28" w:type="dxa"/>
          <w:right w:w="28" w:type="dxa"/>
        </w:tblCellMar>
      </w:tblPr>
      <w:tblGrid>
        <w:gridCol w:w="1076"/>
        <w:gridCol w:w="590"/>
        <w:gridCol w:w="595"/>
        <w:gridCol w:w="241"/>
        <w:gridCol w:w="241"/>
        <w:gridCol w:w="247"/>
        <w:gridCol w:w="387"/>
        <w:gridCol w:w="387"/>
        <w:gridCol w:w="338"/>
        <w:gridCol w:w="728"/>
        <w:gridCol w:w="664"/>
        <w:gridCol w:w="458"/>
        <w:gridCol w:w="912"/>
        <w:gridCol w:w="912"/>
        <w:gridCol w:w="915"/>
        <w:gridCol w:w="437"/>
        <w:gridCol w:w="437"/>
        <w:gridCol w:w="640"/>
      </w:tblGrid>
      <w:tr>
        <w:trPr/>
        <w:tc>
          <w:tcPr>
            <w:tcW w:w="107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Name and Principal Position</w:t>
            </w:r>
          </w:p>
        </w:tc>
        <w:tc>
          <w:tcPr>
            <w:tcW w:w="72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Year</w:t>
            </w:r>
          </w:p>
        </w:tc>
        <w:tc>
          <w:tcPr>
            <w:tcW w:w="111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Salary ($)</w:t>
            </w:r>
          </w:p>
        </w:tc>
        <w:tc>
          <w:tcPr>
            <w:tcW w:w="1850"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6"/>
              </w:rPr>
              <w:t>Option Awards ($)</w:t>
            </w:r>
            <w:r>
              <w:rPr>
                <w:rFonts w:ascii="Times New Roman;serif" w:hAnsi="Times New Roman;serif"/>
                <w:b/>
                <w:color w:val="000000"/>
                <w:sz w:val="8"/>
              </w:rPr>
              <w:t>(1)</w:t>
            </w:r>
          </w:p>
        </w:tc>
        <w:tc>
          <w:tcPr>
            <w:tcW w:w="2739"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6"/>
              </w:rPr>
              <w:t>Non-Equity Incentive Plan Compensation ($)</w:t>
            </w:r>
            <w:r>
              <w:rPr>
                <w:rFonts w:ascii="Times New Roman;serif" w:hAnsi="Times New Roman;serif"/>
                <w:b/>
                <w:color w:val="000000"/>
                <w:sz w:val="8"/>
              </w:rPr>
              <w:t>(2)</w:t>
            </w:r>
          </w:p>
        </w:tc>
        <w:tc>
          <w:tcPr>
            <w:tcW w:w="151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Total ($)</w:t>
            </w:r>
          </w:p>
        </w:tc>
      </w:tr>
      <w:tr>
        <w:trPr/>
        <w:tc>
          <w:tcPr>
            <w:tcW w:w="2261"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Don Burnette</w:t>
            </w:r>
          </w:p>
          <w:p>
            <w:pPr>
              <w:pStyle w:val="TableContents"/>
              <w:bidi w:val="0"/>
              <w:spacing w:lineRule="auto" w:line="26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c>
          <w:tcPr>
            <w:tcW w:w="7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11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375,000</w:t>
            </w:r>
          </w:p>
        </w:tc>
        <w:tc>
          <w:tcPr>
            <w:tcW w:w="13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7,029,580 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300,000</w:t>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7,704,580</w:t>
            </w:r>
          </w:p>
        </w:tc>
      </w:tr>
      <w:tr>
        <w:trPr/>
        <w:tc>
          <w:tcPr>
            <w:tcW w:w="2261"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325,000</w:t>
            </w:r>
          </w:p>
        </w:tc>
        <w:tc>
          <w:tcPr>
            <w:tcW w:w="185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— </w:t>
            </w:r>
          </w:p>
        </w:tc>
        <w:tc>
          <w:tcPr>
            <w:tcW w:w="273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65,000</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390,000</w:t>
            </w:r>
          </w:p>
        </w:tc>
      </w:tr>
      <w:tr>
        <w:trPr/>
        <w:tc>
          <w:tcPr>
            <w:tcW w:w="2261" w:type="dxa"/>
            <w:gridSpan w:val="3"/>
            <w:vMerge w:val="restart"/>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Surajit Datta</w:t>
            </w:r>
            <w:r>
              <w:rPr>
                <w:rFonts w:ascii="Times New Roman;serif" w:hAnsi="Times New Roman;serif"/>
                <w:b w:val="false"/>
                <w:color w:val="000000"/>
                <w:sz w:val="13"/>
              </w:rPr>
              <w:t>(3)</w:t>
            </w:r>
          </w:p>
          <w:p>
            <w:pPr>
              <w:pStyle w:val="TableContents"/>
              <w:bidi w:val="0"/>
              <w:spacing w:lineRule="auto" w:line="26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c>
          <w:tcPr>
            <w:tcW w:w="729"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1112"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141,667</w:t>
            </w:r>
          </w:p>
        </w:tc>
        <w:tc>
          <w:tcPr>
            <w:tcW w:w="1850"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13,421,254</w:t>
            </w:r>
          </w:p>
        </w:tc>
        <w:tc>
          <w:tcPr>
            <w:tcW w:w="2739"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92,083</w:t>
            </w:r>
          </w:p>
        </w:tc>
        <w:tc>
          <w:tcPr>
            <w:tcW w:w="1514"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13,655,004</w:t>
            </w:r>
          </w:p>
        </w:tc>
      </w:tr>
      <w:tr>
        <w:trPr/>
        <w:tc>
          <w:tcPr>
            <w:tcW w:w="2261" w:type="dxa"/>
            <w:gridSpan w:val="3"/>
            <w:vMerge w:val="continue"/>
            <w:tcBorders/>
            <w:tcMar>
              <w:top w:w="0" w:type="dxa"/>
              <w:left w:w="0" w:type="dxa"/>
              <w:bottom w:w="0" w:type="dxa"/>
              <w:right w:w="0" w:type="dxa"/>
            </w:tcMar>
            <w:vAlign w:val="center"/>
          </w:tcPr>
          <w:p>
            <w:pPr>
              <w:pStyle w:val="Normal"/>
              <w:bidi w:val="0"/>
              <w:jc w:val="left"/>
              <w:rPr/>
            </w:pPr>
            <w:r>
              <w:rPr/>
            </w:r>
          </w:p>
        </w:tc>
        <w:tc>
          <w:tcPr>
            <w:tcW w:w="729"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7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w:t>
            </w:r>
          </w:p>
        </w:tc>
        <w:tc>
          <w:tcPr>
            <w:tcW w:w="2739" w:type="dxa"/>
            <w:gridSpan w:val="3"/>
            <w:tcBorders/>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w:t>
            </w:r>
          </w:p>
        </w:tc>
        <w:tc>
          <w:tcPr>
            <w:tcW w:w="1514" w:type="dxa"/>
            <w:gridSpan w:val="3"/>
            <w:tcBorders/>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w:t>
            </w:r>
          </w:p>
        </w:tc>
      </w:tr>
      <w:tr>
        <w:trPr/>
        <w:tc>
          <w:tcPr>
            <w:tcW w:w="2261" w:type="dxa"/>
            <w:gridSpan w:val="3"/>
            <w:vMerge w:val="restart"/>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Michael Wiesinger</w:t>
            </w:r>
          </w:p>
          <w:p>
            <w:pPr>
              <w:pStyle w:val="TableContents"/>
              <w:bidi w:val="0"/>
              <w:spacing w:lineRule="auto" w:line="26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Chief Operating Officer</w:t>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354,500</w:t>
            </w:r>
          </w:p>
        </w:tc>
        <w:tc>
          <w:tcPr>
            <w:tcW w:w="185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2,962,749</w:t>
            </w:r>
          </w:p>
        </w:tc>
        <w:tc>
          <w:tcPr>
            <w:tcW w:w="273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230,425</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3,547,674</w:t>
            </w:r>
          </w:p>
        </w:tc>
      </w:tr>
      <w:tr>
        <w:trPr/>
        <w:tc>
          <w:tcPr>
            <w:tcW w:w="226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294,365</w:t>
            </w:r>
          </w:p>
        </w:tc>
        <w:tc>
          <w:tcPr>
            <w:tcW w:w="185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486,797</w:t>
            </w:r>
          </w:p>
        </w:tc>
        <w:tc>
          <w:tcPr>
            <w:tcW w:w="273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73,530</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854,692</w:t>
            </w:r>
          </w:p>
        </w:tc>
      </w:tr>
      <w:tr>
        <w:trPr/>
        <w:tc>
          <w:tcPr>
            <w:tcW w:w="226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68" w:before="0" w:after="0"/>
              <w:ind w:left="0" w:right="0" w:hanging="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All option awards were originally granted under the Legacy Kodiak 2018 Plan and have since been assumed by us in the Business Combination. Amounts reported represent the aggregate grant date fair value of stock options granted to each named executive officer computed in accordance with Financial Accounting Standards Board, or FASB, Accounting Standards Codification, or ASC Topic 718, Compensation—Stock Compensation (“ASC 718”), excluding the effect of any estimated forfeitures. Assumptions used in the calculation of this amount are included in Note 13 to our audited consolidated financial statements included in this Annual Report.</w:t>
            </w:r>
          </w:p>
        </w:tc>
      </w:tr>
      <w:tr>
        <w:trPr/>
        <w:tc>
          <w:tcPr>
            <w:tcW w:w="10205" w:type="dxa"/>
            <w:gridSpan w:val="18"/>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Represents cash bonuses earned by the named executive officers pursuant to the Legacy Kodiak Incentive Bonus Plan.</w:t>
            </w:r>
          </w:p>
        </w:tc>
      </w:tr>
      <w:tr>
        <w:trPr/>
        <w:tc>
          <w:tcPr>
            <w:tcW w:w="10205" w:type="dxa"/>
            <w:gridSpan w:val="18"/>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0"/>
              </w:rPr>
              <w:t xml:space="preserve">(3) </w:t>
            </w:r>
            <w:r>
              <w:rPr>
                <w:rFonts w:ascii="Times New Roman;serif" w:hAnsi="Times New Roman;serif"/>
                <w:b w:val="false"/>
                <w:color w:val="000000"/>
                <w:sz w:val="16"/>
              </w:rPr>
              <w:t>Mr. Datta commenced employment with Legacy Kodiak in August 2025.</w:t>
            </w:r>
          </w:p>
        </w:tc>
      </w:tr>
    </w:tbl>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Narrative Disclosure to Named Executive Officers Summary Compensation Table</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For the fiscal year ended December 31, 2025, the compensation program for our named executive officers consisted of base salary and incentive compensation in the form of bonuses and stock option awards.</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Employment Arrangements with Named Executive Officers</w:t>
      </w:r>
    </w:p>
    <w:p>
      <w:pPr>
        <w:pStyle w:val="TextBody"/>
        <w:bidi w:val="0"/>
        <w:spacing w:lineRule="auto" w:line="268" w:before="120" w:after="283"/>
        <w:ind w:left="0" w:right="0" w:firstLine="490"/>
        <w:jc w:val="left"/>
        <w:rPr/>
      </w:pPr>
      <w:r>
        <w:rPr>
          <w:rFonts w:ascii="Times New Roman;serif" w:hAnsi="Times New Roman;serif"/>
          <w:b w:val="false"/>
          <w:color w:val="000000"/>
          <w:sz w:val="20"/>
        </w:rPr>
        <w:t>Legacy Kodiak entered into written continuing employment letters or offer letters setting forth the terms and conditions of employment for each of our named executive officers, as described below. Additionally, each of our named executive officers is also entitled to certain change in control and/or severance benefits upon the occurrence of certain events, the terms of which are described in more detail below under the section titled “</w:t>
      </w:r>
      <w:r>
        <w:rPr>
          <w:rFonts w:ascii="Times New Roman;serif" w:hAnsi="Times New Roman;serif"/>
          <w:b w:val="false"/>
          <w:i/>
          <w:color w:val="000000"/>
          <w:sz w:val="20"/>
        </w:rPr>
        <w:t>Potential Payments upon Termination or Change in Control</w:t>
      </w:r>
      <w:r>
        <w:rPr>
          <w:rFonts w:ascii="Times New Roman;serif" w:hAnsi="Times New Roman;serif"/>
          <w:b w:val="false"/>
          <w:color w:val="000000"/>
          <w:sz w:val="20"/>
        </w:rPr>
        <w:t>.”</w:t>
      </w:r>
    </w:p>
    <w:p>
      <w:pPr>
        <w:pStyle w:val="TextBody"/>
        <w:bidi w:val="0"/>
        <w:spacing w:lineRule="auto" w:line="268" w:before="120" w:after="283"/>
        <w:jc w:val="left"/>
        <w:rPr>
          <w:rFonts w:ascii="Times New Roman;serif" w:hAnsi="Times New Roman;serif"/>
          <w:b/>
          <w:i/>
          <w:color w:val="000000"/>
          <w:sz w:val="20"/>
        </w:rPr>
      </w:pPr>
      <w:r>
        <w:rPr>
          <w:rFonts w:ascii="Times New Roman;serif" w:hAnsi="Times New Roman;serif"/>
          <w:b/>
          <w:i/>
          <w:color w:val="000000"/>
          <w:sz w:val="20"/>
        </w:rPr>
        <w:t>Don Burnette</w:t>
      </w:r>
    </w:p>
    <w:p>
      <w:pPr>
        <w:pStyle w:val="TextBody"/>
        <w:bidi w:val="0"/>
        <w:spacing w:lineRule="auto" w:line="268" w:before="120" w:after="283"/>
        <w:ind w:left="0" w:right="0" w:firstLine="490"/>
        <w:jc w:val="left"/>
        <w:rPr/>
      </w:pPr>
      <w:r>
        <w:rPr>
          <w:rFonts w:ascii="Times New Roman;serif" w:hAnsi="Times New Roman;serif"/>
          <w:b w:val="false"/>
          <w:color w:val="000000"/>
          <w:sz w:val="20"/>
        </w:rPr>
        <w:t>Legacy Kodiak entered into a continuing employment letter with Mr. Burnette, our Chief Executive Officer. The confirmatory employment letter has no specific term, provides for at-will employment and provides for eligibility to participate in Company-sponsored benefits programs.</w:t>
      </w:r>
      <w:r>
        <w:rPr>
          <w:color w:val="000000"/>
        </w:rPr>
        <w:t xml:space="preserve"> </w:t>
      </w:r>
      <w:r>
        <w:rPr>
          <w:rFonts w:ascii="Times New Roman;serif" w:hAnsi="Times New Roman;serif"/>
          <w:b w:val="false"/>
          <w:color w:val="000000"/>
          <w:sz w:val="20"/>
        </w:rPr>
        <w:t>In addition, Legacy Kodiak entered into an At-Will Employment, Confidential Information, Invention Assignment and Arbitration Agreement with Mr. Burnette, which remains in effect. For 2025, Mr. Burnette’s annual base salary was initially $325,000 and was increased to $425,000 effective as of July 1, 2025, and his annual target bonus was 80% of base salary.</w:t>
      </w:r>
    </w:p>
    <w:p>
      <w:pPr>
        <w:pStyle w:val="TextBody"/>
        <w:bidi w:val="0"/>
        <w:spacing w:lineRule="auto" w:line="268" w:before="120" w:after="283"/>
        <w:jc w:val="left"/>
        <w:rPr>
          <w:rFonts w:ascii="Times New Roman;serif" w:hAnsi="Times New Roman;serif"/>
          <w:b/>
          <w:i/>
          <w:color w:val="000000"/>
          <w:sz w:val="20"/>
        </w:rPr>
      </w:pPr>
      <w:r>
        <w:rPr>
          <w:rFonts w:ascii="Times New Roman;serif" w:hAnsi="Times New Roman;serif"/>
          <w:b/>
          <w:i/>
          <w:color w:val="000000"/>
          <w:sz w:val="20"/>
        </w:rPr>
        <w:t>Surajit Datta</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Legacy Kodiak entered into an offer letter with Mr. Datta, our Chief Financial Officer. The offer letter has no specific term, provides for at-will employment and provides for eligibility to participate in Company-sponsored benefits programs. In addition, Legacy Kodiak entered into an At-Will Employment, Confidential Information, Invention Assignment and Arbitration Agreement with Mr. Datta, which remains in effect. For 2025, Mr. Datta’s annual base salary was $400,000 and his annual target bonus was 65% of base salary.</w:t>
      </w:r>
    </w:p>
    <w:p>
      <w:pPr>
        <w:pStyle w:val="TextBody"/>
        <w:bidi w:val="0"/>
        <w:spacing w:lineRule="auto" w:line="268" w:before="120" w:after="283"/>
        <w:jc w:val="left"/>
        <w:rPr>
          <w:rFonts w:ascii="Times New Roman;serif" w:hAnsi="Times New Roman;serif"/>
          <w:b/>
          <w:i/>
          <w:color w:val="000000"/>
          <w:sz w:val="20"/>
        </w:rPr>
      </w:pPr>
      <w:r>
        <w:rPr>
          <w:rFonts w:ascii="Times New Roman;serif" w:hAnsi="Times New Roman;serif"/>
          <w:b/>
          <w:i/>
          <w:color w:val="000000"/>
          <w:sz w:val="20"/>
        </w:rPr>
        <w:t>Michael Wiesinger</w:t>
      </w:r>
    </w:p>
    <w:p>
      <w:pPr>
        <w:pStyle w:val="TextBody"/>
        <w:bidi w:val="0"/>
        <w:spacing w:lineRule="auto" w:line="268" w:before="120" w:after="283"/>
        <w:ind w:left="0" w:right="0" w:firstLine="490"/>
        <w:jc w:val="left"/>
        <w:rPr/>
      </w:pPr>
      <w:r>
        <w:rPr>
          <w:rFonts w:ascii="Times New Roman;serif" w:hAnsi="Times New Roman;serif"/>
          <w:b w:val="false"/>
          <w:color w:val="000000"/>
          <w:sz w:val="20"/>
        </w:rPr>
        <w:t>Legacy Kodiak entered into a continuing employment letter with Mr. Wiesinger, our Chief Operating Officer. The confirmatory employment letter has no specific term, provides for at-will employment and provides for eligibility to participate in Company-sponsored benefits programs.</w:t>
      </w:r>
      <w:r>
        <w:rPr>
          <w:color w:val="000000"/>
        </w:rPr>
        <w:t xml:space="preserve"> </w:t>
      </w:r>
      <w:r>
        <w:rPr>
          <w:rFonts w:ascii="Times New Roman;serif" w:hAnsi="Times New Roman;serif"/>
          <w:b w:val="false"/>
          <w:color w:val="000000"/>
          <w:sz w:val="20"/>
        </w:rPr>
        <w:t>In addition, Legacy Kodiak entered into an At-Will Employment, Confidential Information, Invention Assignment and Arbitration Agreement with Mr. Wiesinger, which remains in effect.</w:t>
      </w:r>
      <w:r>
        <w:rPr>
          <w:color w:val="000000"/>
        </w:rPr>
        <w:t xml:space="preserve"> </w:t>
      </w:r>
      <w:r>
        <w:rPr>
          <w:rFonts w:ascii="Times New Roman;serif" w:hAnsi="Times New Roman;serif"/>
          <w:b w:val="false"/>
          <w:color w:val="000000"/>
          <w:sz w:val="20"/>
        </w:rPr>
        <w:t xml:space="preserve">For 2025, Mr. Wiesinger’s annual base salary was initially $309,000 and was increased to $400,000 effective as of July 1, 2025, and his annual target bonus was 65% of base salary. </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Base Salary</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Base salaries are set at a level that is commensurate with the executive’s duties and authorities, contributions, prior experience and sustained performance. Base salaries are reviewed annually, typically in connection with our annual performance review process, and adjusted from time to time to realign salaries with market levels after taking into account individual responsibilities, performance and experience. </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Non-Equity Incentive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474345"/>
                <wp:effectExtent l="0" t="0" r="0" b="0"/>
                <wp:wrapNone/>
                <wp:docPr id="125" name="Frame121"/>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before="0" w:after="240"/>
        <w:jc w:val="center"/>
        <w:rPr/>
      </w:pPr>
      <w:r>
        <w:rPr/>
      </w:r>
    </w:p>
    <w:p>
      <w:pPr>
        <w:pStyle w:val="TextBody"/>
        <w:bidi w:val="0"/>
        <w:spacing w:lineRule="auto" w:line="268" w:before="120" w:after="283"/>
        <w:jc w:val="left"/>
        <w:rPr>
          <w:rFonts w:ascii="Times New Roman;serif" w:hAnsi="Times New Roman;serif"/>
          <w:b/>
          <w:i/>
          <w:color w:val="000000"/>
          <w:sz w:val="20"/>
        </w:rPr>
      </w:pPr>
      <w:r>
        <w:rPr>
          <w:rFonts w:ascii="Times New Roman;serif" w:hAnsi="Times New Roman;serif"/>
          <w:b/>
          <w:i/>
          <w:color w:val="000000"/>
          <w:sz w:val="20"/>
        </w:rPr>
        <w:t>Incentive Bonus Plan</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For 2025, each of our named executive officers were eligible to earn an annual bonus under our Incentive Bonus Plan based upon an assessment of achievement of corporate goals, which included the delivery of a certain number of autonomous semi-trucks in 2025. In early 2026, we determined achievement for each of our named executive officers and each received a bonus payout at 100% of target.</w:t>
      </w:r>
    </w:p>
    <w:p>
      <w:pPr>
        <w:pStyle w:val="TextBody"/>
        <w:bidi w:val="0"/>
        <w:spacing w:lineRule="auto" w:line="268" w:before="120" w:after="283"/>
        <w:jc w:val="left"/>
        <w:rPr>
          <w:rFonts w:ascii="Times New Roman;serif" w:hAnsi="Times New Roman;serif"/>
          <w:b/>
          <w:i/>
          <w:color w:val="000000"/>
          <w:sz w:val="20"/>
        </w:rPr>
      </w:pPr>
      <w:r>
        <w:rPr>
          <w:rFonts w:ascii="Times New Roman;serif" w:hAnsi="Times New Roman;serif"/>
          <w:b/>
          <w:i/>
          <w:color w:val="000000"/>
          <w:sz w:val="20"/>
        </w:rPr>
        <w:t>Executive Incentive Compensation Plan</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connection with the consummation of the Business Combination, the Board considered and approved an Executive Incentive Compensation Plan (the “Incentive Compensation Plan”) to provide periodic incentive bonus opportunities to Kodiak employees. The Compensation Committee administers the Incentive Compensation Plan.</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Under the Incentive Compensation Plan, the administrator determines the performance goals applicable to any award, which goals may include, without limitation, goals related to: research and development milestones; regulatory milestones or regulatory-related goals; gross margin; financial milestones; new product or business development; operating margin; product release timelines or other product release milestones; publications; cash flow; procurement; savings; internal structure; leadership development; project function or portfolio-specific milestones; license or research collaboration agreements; capital raising; initial public offering preparations; patentability; and individual objectives such as peer reviews or other subjective or objective criteria. The performance goals may differ from participant to participant and from award to award.</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administrator of the Incentive Compensation Plan may, in its sole discretion and at any time, increase, reduce or eliminate a participant’s actual award, and/or increase, reduce or eliminate the amount allocated to the bonus pool for a particular performance period. The actual award may be below, at or above a participant’s target award, in the discretion of the administrator. The administrator may determine the amount of any increase, reduction or elimination on the basis of such factors as it deems relevant, and it is not required to establish any allocation or weighting with respect to the factors it considers.</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Actual awards will be paid in cash (or its equivalent) in a single lump sum only after they are earned, which usually requires continued employment through the date the actual award is paid. The administrator reserves the right to settle an actual award with a grant of an equity award under Kodiak’s then-current equity compensation plan, which equity award may have such terms and conditions, as the administrator determines. Payment of awards occurs as soon as administratively practicable after they are earned, but no later than the dates set forth in the Incentive Compensation Plan. The administrator has the authority to amend, alter, suspend or terminate the Incentive Compensation Plan, provided such action does not materially alter or materially impair the existing rights of any participant with respect to any earned awards.</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Equity Awards</w:t>
      </w:r>
    </w:p>
    <w:p>
      <w:pPr>
        <w:pStyle w:val="TextBody"/>
        <w:bidi w:val="0"/>
        <w:spacing w:lineRule="auto" w:line="268" w:before="120" w:after="283"/>
        <w:ind w:left="0" w:right="0" w:firstLine="490"/>
        <w:jc w:val="left"/>
        <w:rPr/>
      </w:pPr>
      <w:r>
        <w:rPr>
          <w:rFonts w:ascii="Times New Roman;serif" w:hAnsi="Times New Roman;serif"/>
          <w:b w:val="false"/>
          <w:color w:val="000000"/>
          <w:sz w:val="20"/>
        </w:rPr>
        <w:t>Legacy Kodiak historically granted stock options under the 2018 Plan to its employees, consultants, and directors, including certain of our named executive officers, which options were assumed by us in connection with the Business Combination. In order to provide a long-term incentive, these stock options generally vest over four years subject to continued service. The vesting terms of stock options granted to our named executive officers that were outstanding as of December 31, 2025 are set forth in the “</w:t>
      </w:r>
      <w:r>
        <w:rPr>
          <w:rFonts w:ascii="Times New Roman;serif" w:hAnsi="Times New Roman;serif"/>
          <w:b w:val="false"/>
          <w:i/>
          <w:color w:val="000000"/>
          <w:sz w:val="20"/>
        </w:rPr>
        <w:t>Outstanding Equity Awards at Fiscal 2025 Year End</w:t>
      </w:r>
      <w:r>
        <w:rPr>
          <w:color w:val="000000"/>
        </w:rPr>
        <w:t xml:space="preserve">” </w:t>
      </w:r>
      <w:r>
        <w:rPr>
          <w:rFonts w:ascii="Times New Roman;serif" w:hAnsi="Times New Roman;serif"/>
          <w:b w:val="false"/>
          <w:color w:val="000000"/>
          <w:sz w:val="20"/>
        </w:rPr>
        <w:t>table below.</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Equity Compensation Plan Information</w:t>
      </w:r>
    </w:p>
    <w:p>
      <w:pPr>
        <w:pStyle w:val="TextBody"/>
        <w:bidi w:val="0"/>
        <w:spacing w:lineRule="auto" w:line="26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equity compensation plan information as of December 31, 2025. Information is included for equity compensation plans approved by our stockholders. We do not have any equity compensation plans not approved by our stockholders.</w:t>
      </w:r>
    </w:p>
    <w:tbl>
      <w:tblPr>
        <w:tblW w:w="10205" w:type="dxa"/>
        <w:jc w:val="left"/>
        <w:tblInd w:w="0" w:type="dxa"/>
        <w:tblLayout w:type="fixed"/>
        <w:tblCellMar>
          <w:top w:w="28" w:type="dxa"/>
          <w:left w:w="28" w:type="dxa"/>
          <w:bottom w:w="28" w:type="dxa"/>
          <w:right w:w="28" w:type="dxa"/>
        </w:tblCellMar>
      </w:tblPr>
      <w:tblGrid>
        <w:gridCol w:w="1561"/>
        <w:gridCol w:w="1370"/>
        <w:gridCol w:w="1376"/>
        <w:gridCol w:w="585"/>
        <w:gridCol w:w="580"/>
        <w:gridCol w:w="582"/>
        <w:gridCol w:w="606"/>
        <w:gridCol w:w="606"/>
        <w:gridCol w:w="608"/>
        <w:gridCol w:w="680"/>
        <w:gridCol w:w="680"/>
        <w:gridCol w:w="971"/>
      </w:tblGrid>
      <w:tr>
        <w:trPr/>
        <w:tc>
          <w:tcPr>
            <w:tcW w:w="1561"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430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Plan Category</w:t>
            </w:r>
          </w:p>
        </w:tc>
        <w:tc>
          <w:tcPr>
            <w:tcW w:w="174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Number of Securities</w:t>
            </w:r>
          </w:p>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to be Issued Upon</w:t>
            </w:r>
          </w:p>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Exercise of</w:t>
            </w:r>
          </w:p>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Outstanding Options,</w:t>
            </w:r>
          </w:p>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Warrants, and Rights(2)</w:t>
            </w:r>
          </w:p>
        </w:tc>
        <w:tc>
          <w:tcPr>
            <w:tcW w:w="182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Weighted-Average</w:t>
            </w:r>
          </w:p>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Exercise Price of</w:t>
            </w:r>
          </w:p>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Outstanding Options,</w:t>
            </w:r>
          </w:p>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Warrants, and Rights(3)</w:t>
            </w:r>
          </w:p>
        </w:tc>
        <w:tc>
          <w:tcPr>
            <w:tcW w:w="233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Number of Securities Remaining</w:t>
            </w:r>
          </w:p>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Available for Future Issuance</w:t>
            </w:r>
          </w:p>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Under Equity Compensation</w:t>
            </w:r>
          </w:p>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Plans (Excluding Securities</w:t>
            </w:r>
          </w:p>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Reflected in the First Column)(4)</w:t>
            </w:r>
          </w:p>
        </w:tc>
      </w:tr>
      <w:tr>
        <w:trPr/>
        <w:tc>
          <w:tcPr>
            <w:tcW w:w="4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Equity compensation plans approved by security holders</w:t>
            </w:r>
            <w:r>
              <w:rPr>
                <w:rFonts w:ascii="Times New Roman;serif" w:hAnsi="Times New Roman;serif"/>
                <w:b w:val="false"/>
                <w:color w:val="000000"/>
                <w:sz w:val="13"/>
              </w:rPr>
              <w:t>(1)</w:t>
            </w:r>
          </w:p>
        </w:tc>
        <w:tc>
          <w:tcPr>
            <w:tcW w:w="17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74,672,900</w:t>
            </w:r>
          </w:p>
        </w:tc>
        <w:tc>
          <w:tcPr>
            <w:tcW w:w="18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$1.89</w:t>
            </w:r>
          </w:p>
        </w:tc>
        <w:tc>
          <w:tcPr>
            <w:tcW w:w="23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12,113,470</w:t>
            </w:r>
          </w:p>
        </w:tc>
      </w:tr>
      <w:tr>
        <w:trPr/>
        <w:tc>
          <w:tcPr>
            <w:tcW w:w="10205" w:type="dxa"/>
            <w:gridSpan w:val="12"/>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w:t>
            </w:r>
          </w:p>
        </w:tc>
      </w:tr>
      <w:tr>
        <w:trPr/>
        <w:tc>
          <w:tcPr>
            <w:tcW w:w="10205" w:type="dxa"/>
            <w:gridSpan w:val="12"/>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the 2018 Plan, the 2025 Plan, and the ESPP. The 2018 Plan expired as to future grants in September 2025.</w:t>
            </w:r>
          </w:p>
        </w:tc>
      </w:tr>
      <w:tr>
        <w:trPr/>
        <w:tc>
          <w:tcPr>
            <w:tcW w:w="10205" w:type="dxa"/>
            <w:gridSpan w:val="12"/>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Includes stock options and restricted stock units.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474345"/>
                <wp:effectExtent l="0" t="0" r="0" b="0"/>
                <wp:wrapNone/>
                <wp:docPr id="126" name="Frame122"/>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before="0" w:after="240"/>
        <w:jc w:val="center"/>
        <w:rPr/>
      </w:pPr>
      <w:r>
        <w:rPr/>
      </w:r>
    </w:p>
    <w:tbl>
      <w:tblPr>
        <w:tblW w:w="10205" w:type="dxa"/>
        <w:jc w:val="left"/>
        <w:tblInd w:w="0" w:type="dxa"/>
        <w:tblLayout w:type="fixed"/>
        <w:tblCellMar>
          <w:top w:w="28" w:type="dxa"/>
          <w:left w:w="28" w:type="dxa"/>
          <w:bottom w:w="28" w:type="dxa"/>
          <w:right w:w="28" w:type="dxa"/>
        </w:tblCellMar>
      </w:tblPr>
      <w:tblGrid>
        <w:gridCol w:w="922"/>
        <w:gridCol w:w="808"/>
        <w:gridCol w:w="808"/>
        <w:gridCol w:w="808"/>
        <w:gridCol w:w="808"/>
        <w:gridCol w:w="808"/>
        <w:gridCol w:w="808"/>
        <w:gridCol w:w="808"/>
        <w:gridCol w:w="808"/>
        <w:gridCol w:w="808"/>
        <w:gridCol w:w="808"/>
        <w:gridCol w:w="1203"/>
      </w:tblGrid>
      <w:tr>
        <w:trPr/>
        <w:tc>
          <w:tcPr>
            <w:tcW w:w="92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Weighted-average exercise prices are calculated without regard to restricted stock units, which do not have any exercise price.</w:t>
            </w:r>
          </w:p>
        </w:tc>
      </w:tr>
      <w:tr>
        <w:trPr/>
        <w:tc>
          <w:tcPr>
            <w:tcW w:w="10205" w:type="dxa"/>
            <w:gridSpan w:val="12"/>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Includes: 6,474,470 shares from the 2025 Plan and 5,639,000 shares from the ESPP. The 2025 Plan provides that on the first day of each year beginning on January 1, 2026, the number of shares of common stock available for issuance thereunder is automatically increased by a number equal to the least of (i) 56,390,000 shares of common stock, (ii) 5% of the outstanding shares of all classes of our common stock as of the last day of our immediately preceding fiscal year or (iii) such other amount as the plan administrator may determine. The ESPP provides that on the first day of each year beginning January 1, 2026, the number of shares of common stock available for issuance thereunder is automatically increased by a number equal to the least of (i) 11,280,000 shares, (ii) 1% of the outstanding shares of all classes of our common stock as of the last day of our immediately preceding fiscal year or (iii) such other amount as the plan administrator may determine. On January 1, 2026, the number of shares of common stock available for issuance under the 2025 Plan and the ESPP increased by 9,084,526 shares and 1,816,905 shares, respectively, pursuant to these provisions. These changes are not reflected in the table above.</w:t>
            </w:r>
          </w:p>
        </w:tc>
      </w:tr>
    </w:tbl>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Outstanding Equity Awards at Fiscal 2025 Year End</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information regarding outstanding equity awards held by our named executive officers as of December 31, 2025: </w:t>
      </w:r>
    </w:p>
    <w:tbl>
      <w:tblPr>
        <w:tblW w:w="10205" w:type="dxa"/>
        <w:jc w:val="left"/>
        <w:tblInd w:w="0" w:type="dxa"/>
        <w:tblLayout w:type="fixed"/>
        <w:tblCellMar>
          <w:top w:w="28" w:type="dxa"/>
          <w:left w:w="28" w:type="dxa"/>
          <w:bottom w:w="28" w:type="dxa"/>
          <w:right w:w="28" w:type="dxa"/>
        </w:tblCellMar>
      </w:tblPr>
      <w:tblGrid>
        <w:gridCol w:w="606"/>
        <w:gridCol w:w="437"/>
        <w:gridCol w:w="443"/>
        <w:gridCol w:w="277"/>
        <w:gridCol w:w="277"/>
        <w:gridCol w:w="278"/>
        <w:gridCol w:w="830"/>
        <w:gridCol w:w="830"/>
        <w:gridCol w:w="833"/>
        <w:gridCol w:w="889"/>
        <w:gridCol w:w="889"/>
        <w:gridCol w:w="892"/>
        <w:gridCol w:w="429"/>
        <w:gridCol w:w="429"/>
        <w:gridCol w:w="431"/>
        <w:gridCol w:w="416"/>
        <w:gridCol w:w="416"/>
        <w:gridCol w:w="603"/>
      </w:tblGrid>
      <w:tr>
        <w:trPr/>
        <w:tc>
          <w:tcPr>
            <w:tcW w:w="60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15"/>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6"/>
              </w:rPr>
              <w:t>Option Awards</w:t>
            </w:r>
            <w:r>
              <w:rPr>
                <w:rFonts w:ascii="Times New Roman;serif" w:hAnsi="Times New Roman;serif"/>
                <w:b/>
                <w:color w:val="000000"/>
                <w:sz w:val="12"/>
              </w:rPr>
              <w:t>(1)</w:t>
            </w:r>
          </w:p>
        </w:tc>
      </w:tr>
      <w:tr>
        <w:trPr/>
        <w:tc>
          <w:tcPr>
            <w:tcW w:w="148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Name</w:t>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Grant Date</w:t>
            </w:r>
          </w:p>
        </w:tc>
        <w:tc>
          <w:tcPr>
            <w:tcW w:w="24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Number of Securities Underlying Unexercised Options Exercisable (#)</w:t>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Number of Securities Underlying Unexercised Options Unexercisable (#)</w:t>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6"/>
              </w:rPr>
              <w:t>Option Exercise Price ($)</w:t>
            </w:r>
            <w:r>
              <w:rPr>
                <w:rFonts w:ascii="Times New Roman;serif" w:hAnsi="Times New Roman;serif"/>
                <w:b/>
                <w:color w:val="000000"/>
                <w:sz w:val="12"/>
              </w:rPr>
              <w:t>(2)</w:t>
            </w:r>
          </w:p>
        </w:tc>
        <w:tc>
          <w:tcPr>
            <w:tcW w:w="1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Option Expiration Date</w:t>
            </w:r>
          </w:p>
        </w:tc>
      </w:tr>
      <w:tr>
        <w:trPr/>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Don Burnette</w:t>
            </w:r>
            <w:r>
              <w:rPr>
                <w:rFonts w:ascii="Times New Roman;serif" w:hAnsi="Times New Roman;serif"/>
                <w:b w:val="false"/>
                <w:color w:val="000000"/>
                <w:sz w:val="15"/>
              </w:rPr>
              <w:t>(3)</w:t>
            </w:r>
          </w:p>
        </w:tc>
        <w:tc>
          <w:tcPr>
            <w:tcW w:w="8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06/27/2025</w:t>
            </w:r>
          </w:p>
        </w:tc>
        <w:tc>
          <w:tcPr>
            <w:tcW w:w="24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127,134</w:t>
            </w:r>
          </w:p>
        </w:tc>
        <w:tc>
          <w:tcPr>
            <w:tcW w:w="26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889,950</w:t>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6.84</w:t>
            </w:r>
          </w:p>
        </w:tc>
        <w:tc>
          <w:tcPr>
            <w:tcW w:w="1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06/26/2035</w:t>
            </w:r>
          </w:p>
        </w:tc>
      </w:tr>
      <w:tr>
        <w:trPr/>
        <w:tc>
          <w:tcPr>
            <w:tcW w:w="1486"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Surajit Datta</w:t>
            </w:r>
            <w:r>
              <w:rPr>
                <w:rFonts w:ascii="Times New Roman;serif" w:hAnsi="Times New Roman;serif"/>
                <w:b w:val="false"/>
                <w:color w:val="000000"/>
                <w:sz w:val="15"/>
              </w:rPr>
              <w:t>(4)</w:t>
            </w:r>
          </w:p>
        </w:tc>
        <w:tc>
          <w:tcPr>
            <w:tcW w:w="83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08/27/2025</w:t>
            </w:r>
          </w:p>
        </w:tc>
        <w:tc>
          <w:tcPr>
            <w:tcW w:w="2493"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670"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2,035,914</w:t>
            </w:r>
          </w:p>
        </w:tc>
        <w:tc>
          <w:tcPr>
            <w:tcW w:w="1289"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8.88</w:t>
            </w:r>
          </w:p>
        </w:tc>
        <w:tc>
          <w:tcPr>
            <w:tcW w:w="143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08/26/2035</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Michael Wiesinger</w:t>
            </w:r>
            <w:r>
              <w:rPr>
                <w:rFonts w:ascii="Times New Roman;serif" w:hAnsi="Times New Roman;serif"/>
                <w:b w:val="false"/>
                <w:color w:val="000000"/>
                <w:sz w:val="15"/>
              </w:rPr>
              <w:t>(5)</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11/01/2022</w:t>
            </w:r>
          </w:p>
        </w:tc>
        <w:tc>
          <w:tcPr>
            <w:tcW w:w="249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409,354</w:t>
            </w:r>
          </w:p>
        </w:tc>
        <w:tc>
          <w:tcPr>
            <w:tcW w:w="267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12/22/2031</w:t>
            </w:r>
          </w:p>
        </w:tc>
      </w:tr>
      <w:tr>
        <w:trPr/>
        <w:tc>
          <w:tcPr>
            <w:tcW w:w="1486"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Michael Wiesinger</w:t>
            </w:r>
            <w:r>
              <w:rPr>
                <w:rFonts w:ascii="Times New Roman;serif" w:hAnsi="Times New Roman;serif"/>
                <w:b w:val="false"/>
                <w:color w:val="000000"/>
                <w:sz w:val="15"/>
              </w:rPr>
              <w:t>(6)</w:t>
            </w:r>
          </w:p>
        </w:tc>
        <w:tc>
          <w:tcPr>
            <w:tcW w:w="83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11/01/2022</w:t>
            </w:r>
          </w:p>
        </w:tc>
        <w:tc>
          <w:tcPr>
            <w:tcW w:w="2493"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77,257</w:t>
            </w:r>
          </w:p>
        </w:tc>
        <w:tc>
          <w:tcPr>
            <w:tcW w:w="2670"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11,050</w:t>
            </w:r>
          </w:p>
        </w:tc>
        <w:tc>
          <w:tcPr>
            <w:tcW w:w="1289"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143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06/01/2032</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Michael Wiesinger</w:t>
            </w:r>
            <w:r>
              <w:rPr>
                <w:rFonts w:ascii="Times New Roman;serif" w:hAnsi="Times New Roman;serif"/>
                <w:b w:val="false"/>
                <w:color w:val="000000"/>
                <w:sz w:val="15"/>
              </w:rPr>
              <w:t>(7)</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12/18/2022</w:t>
            </w:r>
          </w:p>
        </w:tc>
        <w:tc>
          <w:tcPr>
            <w:tcW w:w="249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274,869</w:t>
            </w:r>
          </w:p>
        </w:tc>
        <w:tc>
          <w:tcPr>
            <w:tcW w:w="267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91,628</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12/17/2032</w:t>
            </w:r>
          </w:p>
        </w:tc>
      </w:tr>
      <w:tr>
        <w:trPr/>
        <w:tc>
          <w:tcPr>
            <w:tcW w:w="1486"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Michael Wiesinger</w:t>
            </w:r>
            <w:r>
              <w:rPr>
                <w:rFonts w:ascii="Times New Roman;serif" w:hAnsi="Times New Roman;serif"/>
                <w:b w:val="false"/>
                <w:color w:val="000000"/>
                <w:sz w:val="15"/>
              </w:rPr>
              <w:t>(8)</w:t>
            </w:r>
          </w:p>
        </w:tc>
        <w:tc>
          <w:tcPr>
            <w:tcW w:w="83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08/30/2023</w:t>
            </w:r>
          </w:p>
        </w:tc>
        <w:tc>
          <w:tcPr>
            <w:tcW w:w="2493"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82,788</w:t>
            </w:r>
          </w:p>
        </w:tc>
        <w:tc>
          <w:tcPr>
            <w:tcW w:w="2670"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49,673</w:t>
            </w:r>
          </w:p>
        </w:tc>
        <w:tc>
          <w:tcPr>
            <w:tcW w:w="1289"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143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08/29/2033</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Michael Wiesinger</w:t>
            </w:r>
            <w:r>
              <w:rPr>
                <w:rFonts w:ascii="Times New Roman;serif" w:hAnsi="Times New Roman;serif"/>
                <w:b w:val="false"/>
                <w:color w:val="000000"/>
                <w:sz w:val="15"/>
              </w:rPr>
              <w:t>(9)</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08/21/2024</w:t>
            </w:r>
          </w:p>
        </w:tc>
        <w:tc>
          <w:tcPr>
            <w:tcW w:w="249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455,068</w:t>
            </w:r>
          </w:p>
        </w:tc>
        <w:tc>
          <w:tcPr>
            <w:tcW w:w="267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585,099</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0.47</w:t>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08/20/2034</w:t>
            </w:r>
          </w:p>
        </w:tc>
      </w:tr>
      <w:tr>
        <w:trPr/>
        <w:tc>
          <w:tcPr>
            <w:tcW w:w="1486"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Michael Wiesinger</w:t>
            </w:r>
            <w:r>
              <w:rPr>
                <w:rFonts w:ascii="Times New Roman;serif" w:hAnsi="Times New Roman;serif"/>
                <w:b w:val="false"/>
                <w:color w:val="000000"/>
                <w:sz w:val="15"/>
              </w:rPr>
              <w:t>(10)</w:t>
            </w:r>
          </w:p>
        </w:tc>
        <w:tc>
          <w:tcPr>
            <w:tcW w:w="83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06/27/2025</w:t>
            </w:r>
          </w:p>
        </w:tc>
        <w:tc>
          <w:tcPr>
            <w:tcW w:w="2493"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53,578</w:t>
            </w:r>
          </w:p>
        </w:tc>
        <w:tc>
          <w:tcPr>
            <w:tcW w:w="2670"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375,050</w:t>
            </w:r>
          </w:p>
        </w:tc>
        <w:tc>
          <w:tcPr>
            <w:tcW w:w="1289"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6.84</w:t>
            </w:r>
          </w:p>
        </w:tc>
        <w:tc>
          <w:tcPr>
            <w:tcW w:w="1435" w:type="dxa"/>
            <w:gridSpan w:val="3"/>
            <w:tcBorders/>
            <w:tcMar>
              <w:top w:w="0" w:type="dxa"/>
              <w:left w:w="0" w:type="dxa"/>
              <w:bottom w:w="0" w:type="dxa"/>
              <w:right w:w="0" w:type="dxa"/>
            </w:tcMar>
            <w:vAlign w:val="center"/>
          </w:tcPr>
          <w:p>
            <w:pPr>
              <w:pStyle w:val="TableContents"/>
              <w:bidi w:val="0"/>
              <w:spacing w:lineRule="auto" w:line="268" w:before="0" w:after="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06/26/2035</w:t>
            </w:r>
          </w:p>
        </w:tc>
      </w:tr>
      <w:tr>
        <w:trPr/>
        <w:tc>
          <w:tcPr>
            <w:tcW w:w="10205" w:type="dxa"/>
            <w:gridSpan w:val="18"/>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w:t>
            </w:r>
          </w:p>
        </w:tc>
      </w:tr>
      <w:tr>
        <w:trPr/>
        <w:tc>
          <w:tcPr>
            <w:tcW w:w="10205" w:type="dxa"/>
            <w:gridSpan w:val="18"/>
            <w:tcBorders/>
            <w:tcMar>
              <w:top w:w="0" w:type="dxa"/>
              <w:left w:w="0" w:type="dxa"/>
              <w:bottom w:w="0" w:type="dxa"/>
              <w:right w:w="0" w:type="dxa"/>
            </w:tcMar>
            <w:vAlign w:val="center"/>
          </w:tcPr>
          <w:p>
            <w:pPr>
              <w:pStyle w:val="TableContents"/>
              <w:bidi w:val="0"/>
              <w:spacing w:lineRule="auto" w:line="268" w:before="0" w:after="0"/>
              <w:ind w:left="0" w:right="0" w:hanging="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All stock options were granted pursuant to the Legacy Kodiak 2018 Plan. In connection with the Business Combination, each of our named executive officers received Earnout RSUs. The Earnout RSUs are not intended to be compensatory and are therefore excluded from tabular disclosure in this section.</w:t>
            </w:r>
          </w:p>
        </w:tc>
      </w:tr>
      <w:tr>
        <w:trPr/>
        <w:tc>
          <w:tcPr>
            <w:tcW w:w="10205" w:type="dxa"/>
            <w:gridSpan w:val="18"/>
            <w:tcBorders/>
            <w:tcMar>
              <w:top w:w="0" w:type="dxa"/>
              <w:left w:w="0" w:type="dxa"/>
              <w:bottom w:w="0" w:type="dxa"/>
              <w:right w:w="0" w:type="dxa"/>
            </w:tcMar>
            <w:vAlign w:val="center"/>
          </w:tcPr>
          <w:p>
            <w:pPr>
              <w:pStyle w:val="TableContents"/>
              <w:bidi w:val="0"/>
              <w:spacing w:lineRule="auto" w:line="268" w:before="0" w:after="0"/>
              <w:ind w:left="0" w:right="0" w:hanging="18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This column represents the fair market value of a share of Legacy Kodiak Common Stock on the date of the grant, as determined by our board of directors. The exercise price of each of Mr. Wiesinger’s equity awards with a grant date of November 11, 2022 was repriced to $0.45 per share in November 2022. In connection with the closing of the Business Combination, each outstanding option to purchase shares of Legacy Kodiak Common Stock, whether vested or unvested, was exchanged for a comparable option to purchase that number of shares of Common Stock of the Issuer based on the Common Stock Exchange Ratio. The exercise price for each such option was also accordingly adjusted based on the Common Stock Exchange Ratio.</w:t>
            </w:r>
          </w:p>
        </w:tc>
      </w:tr>
      <w:tr>
        <w:trPr/>
        <w:tc>
          <w:tcPr>
            <w:tcW w:w="10205" w:type="dxa"/>
            <w:gridSpan w:val="18"/>
            <w:tcBorders/>
            <w:tcMar>
              <w:top w:w="0" w:type="dxa"/>
              <w:left w:w="0" w:type="dxa"/>
              <w:bottom w:w="0" w:type="dxa"/>
              <w:right w:w="0" w:type="dxa"/>
            </w:tcMar>
            <w:vAlign w:val="center"/>
          </w:tcPr>
          <w:p>
            <w:pPr>
              <w:pStyle w:val="TableContents"/>
              <w:bidi w:val="0"/>
              <w:spacing w:lineRule="auto" w:line="268" w:before="0" w:after="0"/>
              <w:ind w:left="0" w:right="0" w:hanging="18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1/8th of the shares subject to the option vested on December 30, 2025 and 1/48th of the shares subject to the option vest each month thereafter, subject to the holder’s continuous service through the applicable vesting date.</w:t>
            </w:r>
          </w:p>
        </w:tc>
      </w:tr>
      <w:tr>
        <w:trPr/>
        <w:tc>
          <w:tcPr>
            <w:tcW w:w="10205" w:type="dxa"/>
            <w:gridSpan w:val="18"/>
            <w:tcBorders/>
            <w:tcMar>
              <w:top w:w="0" w:type="dxa"/>
              <w:left w:w="0" w:type="dxa"/>
              <w:bottom w:w="0" w:type="dxa"/>
              <w:right w:w="0" w:type="dxa"/>
            </w:tcMar>
            <w:vAlign w:val="center"/>
          </w:tcPr>
          <w:p>
            <w:pPr>
              <w:pStyle w:val="TableContents"/>
              <w:bidi w:val="0"/>
              <w:spacing w:lineRule="auto" w:line="268" w:before="0" w:after="0"/>
              <w:ind w:left="0" w:right="0" w:hanging="180"/>
              <w:jc w:val="left"/>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1/4th of the shares subject to the option vest on August 25, 2026 and 1/48th of the shares subject to the option vest each month thereafter, subject to the holder’s continuous service through the applicable vesting date.</w:t>
            </w:r>
          </w:p>
        </w:tc>
      </w:tr>
      <w:tr>
        <w:trPr/>
        <w:tc>
          <w:tcPr>
            <w:tcW w:w="10205" w:type="dxa"/>
            <w:gridSpan w:val="18"/>
            <w:tcBorders/>
            <w:tcMar>
              <w:top w:w="0" w:type="dxa"/>
              <w:left w:w="0" w:type="dxa"/>
              <w:bottom w:w="0" w:type="dxa"/>
              <w:right w:w="0" w:type="dxa"/>
            </w:tcMar>
            <w:vAlign w:val="center"/>
          </w:tcPr>
          <w:p>
            <w:pPr>
              <w:pStyle w:val="TableContents"/>
              <w:bidi w:val="0"/>
              <w:spacing w:lineRule="auto" w:line="268" w:before="0" w:after="0"/>
              <w:ind w:left="0" w:right="0" w:hanging="180"/>
              <w:jc w:val="left"/>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1/8th of the shares subject to the option vested on June 15, 2022 and 1/48th of the shares subject to the option began vesting each month thereafter, subject to the holder’s continuous service through the applicable vesting date.</w:t>
            </w:r>
          </w:p>
        </w:tc>
      </w:tr>
      <w:tr>
        <w:trPr/>
        <w:tc>
          <w:tcPr>
            <w:tcW w:w="10205" w:type="dxa"/>
            <w:gridSpan w:val="18"/>
            <w:tcBorders/>
            <w:tcMar>
              <w:top w:w="0" w:type="dxa"/>
              <w:left w:w="0" w:type="dxa"/>
              <w:bottom w:w="0" w:type="dxa"/>
              <w:right w:w="0" w:type="dxa"/>
            </w:tcMar>
            <w:vAlign w:val="center"/>
          </w:tcPr>
          <w:p>
            <w:pPr>
              <w:pStyle w:val="TableContents"/>
              <w:bidi w:val="0"/>
              <w:spacing w:lineRule="auto" w:line="268" w:before="0" w:after="0"/>
              <w:ind w:left="0" w:right="0" w:hanging="180"/>
              <w:jc w:val="left"/>
              <w:rPr/>
            </w:pPr>
            <w:r>
              <w:rPr>
                <w:rFonts w:ascii="Times New Roman;serif" w:hAnsi="Times New Roman;serif"/>
                <w:b w:val="false"/>
                <w:color w:val="000000"/>
                <w:sz w:val="10"/>
              </w:rPr>
              <w:t>(6)</w:t>
            </w:r>
            <w:r>
              <w:rPr>
                <w:color w:val="000000"/>
              </w:rPr>
              <w:t xml:space="preserve"> </w:t>
            </w:r>
            <w:r>
              <w:rPr>
                <w:rFonts w:ascii="Times New Roman;serif" w:hAnsi="Times New Roman;serif"/>
                <w:b w:val="false"/>
                <w:color w:val="000000"/>
                <w:sz w:val="16"/>
              </w:rPr>
              <w:t>1/8th of the shares subject to the option vested on December 15, 2022 and 1/48th of the shares subject to the option began vesting each month thereafter, subject to the holder’s continuous service through the applicable vesting date.</w:t>
            </w:r>
          </w:p>
        </w:tc>
      </w:tr>
      <w:tr>
        <w:trPr/>
        <w:tc>
          <w:tcPr>
            <w:tcW w:w="10205" w:type="dxa"/>
            <w:gridSpan w:val="18"/>
            <w:tcBorders/>
            <w:tcMar>
              <w:top w:w="0" w:type="dxa"/>
              <w:left w:w="0" w:type="dxa"/>
              <w:bottom w:w="0" w:type="dxa"/>
              <w:right w:w="0" w:type="dxa"/>
            </w:tcMar>
            <w:vAlign w:val="center"/>
          </w:tcPr>
          <w:p>
            <w:pPr>
              <w:pStyle w:val="TableContents"/>
              <w:bidi w:val="0"/>
              <w:spacing w:lineRule="auto" w:line="268" w:before="0" w:after="0"/>
              <w:ind w:left="0" w:right="0" w:hanging="180"/>
              <w:jc w:val="left"/>
              <w:rPr/>
            </w:pPr>
            <w:r>
              <w:rPr>
                <w:rFonts w:ascii="Times New Roman;serif" w:hAnsi="Times New Roman;serif"/>
                <w:b w:val="false"/>
                <w:color w:val="000000"/>
                <w:sz w:val="10"/>
              </w:rPr>
              <w:t>(7)</w:t>
            </w:r>
            <w:r>
              <w:rPr>
                <w:color w:val="000000"/>
              </w:rPr>
              <w:t xml:space="preserve"> </w:t>
            </w:r>
            <w:r>
              <w:rPr>
                <w:rFonts w:ascii="Times New Roman;serif" w:hAnsi="Times New Roman;serif"/>
                <w:b w:val="false"/>
                <w:color w:val="000000"/>
                <w:sz w:val="16"/>
              </w:rPr>
              <w:t>1/8th of the shares subject to the option vested on June 15, 2023 and 1/48th of the shares subject to the option began vesting each month thereafter, subject to the holder’s continuous service through the applicable vesting date.</w:t>
            </w:r>
          </w:p>
        </w:tc>
      </w:tr>
      <w:tr>
        <w:trPr/>
        <w:tc>
          <w:tcPr>
            <w:tcW w:w="10205" w:type="dxa"/>
            <w:gridSpan w:val="18"/>
            <w:tcBorders/>
            <w:tcMar>
              <w:top w:w="0" w:type="dxa"/>
              <w:left w:w="0" w:type="dxa"/>
              <w:bottom w:w="0" w:type="dxa"/>
              <w:right w:w="0" w:type="dxa"/>
            </w:tcMar>
            <w:vAlign w:val="center"/>
          </w:tcPr>
          <w:p>
            <w:pPr>
              <w:pStyle w:val="TableContents"/>
              <w:bidi w:val="0"/>
              <w:spacing w:lineRule="auto" w:line="268" w:before="0" w:after="0"/>
              <w:ind w:left="0" w:right="0" w:hanging="180"/>
              <w:jc w:val="left"/>
              <w:rPr/>
            </w:pPr>
            <w:r>
              <w:rPr>
                <w:rFonts w:ascii="Times New Roman;serif" w:hAnsi="Times New Roman;serif"/>
                <w:b w:val="false"/>
                <w:color w:val="000000"/>
                <w:sz w:val="10"/>
              </w:rPr>
              <w:t>(8)</w:t>
            </w:r>
            <w:r>
              <w:rPr>
                <w:color w:val="000000"/>
              </w:rPr>
              <w:t xml:space="preserve"> </w:t>
            </w:r>
            <w:r>
              <w:rPr>
                <w:rFonts w:ascii="Times New Roman;serif" w:hAnsi="Times New Roman;serif"/>
                <w:b w:val="false"/>
                <w:color w:val="000000"/>
                <w:sz w:val="16"/>
              </w:rPr>
              <w:t>1/8th of the shares subject to the option vested on December 15, 2023 and 1/48th of the shares subject to the option vest each month thereafter, subject to the holder’s continuous service through the applicable vesting date.</w:t>
            </w:r>
          </w:p>
        </w:tc>
      </w:tr>
      <w:tr>
        <w:trPr/>
        <w:tc>
          <w:tcPr>
            <w:tcW w:w="10205" w:type="dxa"/>
            <w:gridSpan w:val="18"/>
            <w:tcBorders/>
            <w:tcMar>
              <w:top w:w="0" w:type="dxa"/>
              <w:left w:w="0" w:type="dxa"/>
              <w:bottom w:w="0" w:type="dxa"/>
              <w:right w:w="0" w:type="dxa"/>
            </w:tcMar>
            <w:vAlign w:val="center"/>
          </w:tcPr>
          <w:p>
            <w:pPr>
              <w:pStyle w:val="TableContents"/>
              <w:bidi w:val="0"/>
              <w:spacing w:lineRule="auto" w:line="268" w:before="0" w:after="0"/>
              <w:ind w:left="0" w:right="0" w:hanging="180"/>
              <w:jc w:val="left"/>
              <w:rPr/>
            </w:pPr>
            <w:r>
              <w:rPr>
                <w:rFonts w:ascii="Times New Roman;serif" w:hAnsi="Times New Roman;serif"/>
                <w:b w:val="false"/>
                <w:color w:val="000000"/>
                <w:sz w:val="10"/>
              </w:rPr>
              <w:t>(9)</w:t>
            </w:r>
            <w:r>
              <w:rPr>
                <w:color w:val="000000"/>
              </w:rPr>
              <w:t xml:space="preserve"> </w:t>
            </w:r>
            <w:r>
              <w:rPr>
                <w:rFonts w:ascii="Times New Roman;serif" w:hAnsi="Times New Roman;serif"/>
                <w:b w:val="false"/>
                <w:color w:val="000000"/>
                <w:sz w:val="16"/>
              </w:rPr>
              <w:t>1/8th of the shares subject to the option vested on September 1, 2024 and 1/48th of the shares subject to the option vest each month thereafter, subject to the holder’s continuous service through the applicable vesting date.</w:t>
            </w:r>
          </w:p>
        </w:tc>
      </w:tr>
      <w:tr>
        <w:trPr/>
        <w:tc>
          <w:tcPr>
            <w:tcW w:w="10205" w:type="dxa"/>
            <w:gridSpan w:val="18"/>
            <w:tcBorders/>
            <w:tcMar>
              <w:top w:w="0" w:type="dxa"/>
              <w:left w:w="0" w:type="dxa"/>
              <w:bottom w:w="0" w:type="dxa"/>
              <w:right w:w="0" w:type="dxa"/>
            </w:tcMar>
            <w:vAlign w:val="center"/>
          </w:tcPr>
          <w:p>
            <w:pPr>
              <w:pStyle w:val="TableContents"/>
              <w:bidi w:val="0"/>
              <w:spacing w:lineRule="auto" w:line="268" w:before="0" w:after="0"/>
              <w:ind w:left="0" w:right="0" w:hanging="180"/>
              <w:jc w:val="left"/>
              <w:rPr/>
            </w:pPr>
            <w:r>
              <w:rPr>
                <w:rFonts w:ascii="Times New Roman;serif" w:hAnsi="Times New Roman;serif"/>
                <w:b w:val="false"/>
                <w:color w:val="000000"/>
                <w:sz w:val="10"/>
              </w:rPr>
              <w:t>(10)</w:t>
            </w:r>
            <w:r>
              <w:rPr>
                <w:color w:val="000000"/>
              </w:rPr>
              <w:t xml:space="preserve"> </w:t>
            </w:r>
            <w:r>
              <w:rPr>
                <w:rFonts w:ascii="Times New Roman;serif" w:hAnsi="Times New Roman;serif"/>
                <w:b w:val="false"/>
                <w:color w:val="000000"/>
                <w:sz w:val="16"/>
              </w:rPr>
              <w:t>1/8th of the shares subject to the option vest on December 30, 2025 and 1/48th of the shares subject to the option vest each month thereafter, subject to the holder’s continuous service through the applicable vesting date.</w:t>
            </w:r>
          </w:p>
        </w:tc>
      </w:tr>
    </w:tbl>
    <w:p>
      <w:pPr>
        <w:pStyle w:val="TextBody"/>
        <w:bidi w:val="0"/>
        <w:spacing w:lineRule="auto" w:line="268" w:before="0" w:after="0"/>
        <w:ind w:left="0" w:right="0" w:firstLine="490"/>
        <w:jc w:val="left"/>
        <w:rPr/>
      </w:pPr>
      <w:r>
        <w:rPr>
          <w:rFonts w:ascii="Times New Roman;serif" w:hAnsi="Times New Roman;serif"/>
          <w:b w:val="false"/>
          <w:color w:val="000000"/>
          <w:sz w:val="20"/>
        </w:rPr>
        <w:t>Awards held by certain of our named executive officers may be eligible for accelerated vesting under specified circumstances, as described in more detail below under the section titled “</w:t>
      </w:r>
      <w:r>
        <w:rPr>
          <w:rFonts w:ascii="Times New Roman;serif" w:hAnsi="Times New Roman;serif"/>
          <w:b w:val="false"/>
          <w:i/>
          <w:color w:val="000000"/>
          <w:sz w:val="20"/>
        </w:rPr>
        <w:t>Potential Payments upon Termination or Change in Control.</w:t>
      </w:r>
      <w:r>
        <w:rPr>
          <w:color w:val="000000"/>
        </w:rPr>
        <w:t xml:space="preserve">” </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No Nonpublic Material Information Taken into Account for Executive Compensation</w:t>
      </w:r>
    </w:p>
    <w:p>
      <w:pPr>
        <w:pStyle w:val="TextBody"/>
        <w:bidi w:val="0"/>
        <w:spacing w:lineRule="auto" w:line="26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and Compensation Committee do not take material nonpublic information into account when determining the timing and terms of any stock option grant or any other equity compensation. The timing of any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474345"/>
                <wp:effectExtent l="0" t="0" r="0" b="0"/>
                <wp:wrapNone/>
                <wp:docPr id="127" name="Frame123"/>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before="0" w:after="240"/>
        <w:jc w:val="center"/>
        <w:rPr/>
      </w:pPr>
      <w:r>
        <w:rPr/>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option grants to recipients in connection with new hires, promotions or other non-routine grants is tied to the event giving rise to the award (such as an employee’s commencement of employment or promotion effective date). We have not timed the disclosure of material nonpublic information for the purpose of affecting the value of executive compensation. During fiscal year 2025, we did not award stock option grants to our named executive officers in the period beginning four business days before the filing or furnishing of a report disclosing material nonpublic information and ending one business day thereafter.</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 xml:space="preserve">Potential Payments upon Termination or Change in Control </w:t>
      </w:r>
    </w:p>
    <w:p>
      <w:pPr>
        <w:pStyle w:val="TextBody"/>
        <w:bidi w:val="0"/>
        <w:spacing w:lineRule="auto" w:line="268" w:before="120" w:after="283"/>
        <w:jc w:val="left"/>
        <w:rPr>
          <w:rFonts w:ascii="Times New Roman;serif" w:hAnsi="Times New Roman;serif"/>
          <w:b/>
          <w:i/>
          <w:color w:val="000000"/>
          <w:sz w:val="20"/>
        </w:rPr>
      </w:pPr>
      <w:r>
        <w:rPr>
          <w:rFonts w:ascii="Times New Roman;serif" w:hAnsi="Times New Roman;serif"/>
          <w:b/>
          <w:i/>
          <w:color w:val="000000"/>
          <w:sz w:val="20"/>
        </w:rPr>
        <w:t>Change in Control and Severance Policy</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consummation of the Business Combination, the Board considered and approved a new Change in Control and Severance Policy, in which designated participants, including our named executive officers, will participate (the “Severance Policy”). The Severance Policy provides as follows: </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If we terminate a named executive officer’s employment other than for “cause,” death or “disability” or such named executive officer resigns for “good reason” during the period from the period beginning three months prior to a “change in control” (as such terms are defined in the Severance Policy) and ending twelve months following a change in control (the “change in control period”), such named executive officer will be eligible to receive the following severance benefits (less applicable tax withholdings): </w:t>
      </w:r>
    </w:p>
    <w:p>
      <w:pPr>
        <w:pStyle w:val="TextBody"/>
        <w:bidi w:val="0"/>
        <w:spacing w:lineRule="auto" w:line="268" w:before="120" w:after="120"/>
        <w:ind w:left="0" w:right="0" w:hanging="360"/>
        <w:jc w:val="left"/>
        <w:rPr/>
      </w:pPr>
      <w:r>
        <w:rPr>
          <w:color w:val="000000"/>
        </w:rPr>
        <w:t>•</w:t>
      </w:r>
      <w:r>
        <w:rPr>
          <w:rFonts w:ascii="Times New Roman;serif" w:hAnsi="Times New Roman;serif"/>
          <w:b w:val="false"/>
          <w:color w:val="000000"/>
          <w:sz w:val="20"/>
        </w:rPr>
        <w:t>100% of the named executive officer’s then-outstanding and unvested equity awards will become fully vested and exercisable and any applicable performance goals will be deemed achieved at 100% of target;</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 xml:space="preserve">A lump sum cash amount equal to 100% of the named executive officer’s base salary (or, for Mr. Burnette, 150%) as in effect immediately prior to the termination (or if the termination is due to a resignation for good reason based on a material reduction in base salary, then the named executive officer’s annual base salary in effect immediately prior to such reduction) or the change in control, whichever is greater; </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 xml:space="preserve">A lump sum payment equal to the named executive officer’s target bonus for the year of such termination of employment based on actual achievement and pro-rated based on the portion of such year that the named executive officer was employed by us; and </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Payment or reimbursement of continued health coverage for the named executive officer and the named executive officer’s eligible dependents under the Consolidated Omnibus Budget Reconciliation Act of 1985, as amended (“COBRA”) for a period of up to 12 months (or, for Mr. Burnette, 18 months) or a taxable lump sum payment in lieu of payment or reimbursement, as applicable.</w:t>
      </w:r>
    </w:p>
    <w:p>
      <w:pPr>
        <w:pStyle w:val="TextBody"/>
        <w:bidi w:val="0"/>
        <w:spacing w:lineRule="auto" w:line="26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terminate a named executive officer’s employment other than for “cause,” death, or “disability,” or the named executive officer resigns for “good reason,” in any case, outside of the change in control period, such named executive officer will be eligible to receive the following severance benefits (less applicable tax withholdings): </w:t>
      </w:r>
    </w:p>
    <w:p>
      <w:pPr>
        <w:pStyle w:val="TextBody"/>
        <w:bidi w:val="0"/>
        <w:spacing w:lineRule="auto" w:line="268" w:before="120" w:after="120"/>
        <w:ind w:left="0" w:right="0" w:hanging="360"/>
        <w:jc w:val="left"/>
        <w:rPr/>
      </w:pPr>
      <w:r>
        <w:rPr>
          <w:color w:val="000000"/>
        </w:rPr>
        <w:t>•</w:t>
      </w:r>
      <w:r>
        <w:rPr>
          <w:rFonts w:ascii="Times New Roman;serif" w:hAnsi="Times New Roman;serif"/>
          <w:b w:val="false"/>
          <w:color w:val="000000"/>
          <w:sz w:val="20"/>
        </w:rPr>
        <w:t>A lump sum cash amount equal to 50% of the named executive officer’s base salary (or, for Mr. Burnette, 100%) in effect immediately prior to the termination (or if the termination is due to resignation for good reason based on a material reduction in base salary, then the annual base salary in effect immediately prior to such reduction); and</w:t>
      </w:r>
    </w:p>
    <w:p>
      <w:pPr>
        <w:pStyle w:val="TextBody"/>
        <w:bidi w:val="0"/>
        <w:spacing w:lineRule="auto" w:line="268" w:before="0" w:after="120"/>
        <w:ind w:left="0" w:right="0" w:hanging="360"/>
        <w:jc w:val="left"/>
        <w:rPr/>
      </w:pPr>
      <w:r>
        <w:rPr>
          <w:color w:val="000000"/>
        </w:rPr>
        <w:t>•</w:t>
      </w:r>
      <w:r>
        <w:rPr>
          <w:rFonts w:ascii="Times New Roman;serif" w:hAnsi="Times New Roman;serif"/>
          <w:b w:val="false"/>
          <w:color w:val="000000"/>
          <w:sz w:val="20"/>
        </w:rPr>
        <w:t>Payment or reimbursement of continued health coverage for the named executive officer and the named executive officer’s eligible dependents under COBRA for a period of up to 6 months (or, for Mr. Burnette, 12 months) or a taxable lump sum payment in lieu of payment or reimbursement, as applicable.</w:t>
      </w:r>
    </w:p>
    <w:p>
      <w:pPr>
        <w:pStyle w:val="TextBody"/>
        <w:bidi w:val="0"/>
        <w:spacing w:lineRule="auto" w:line="26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 receive the severance benefits upon a qualifying termination, a named executive officer must sign and not revoke our standard separation agreement and release of claims within the timeframe set forth in the Severance Policy. If any of the payments provided for under the Severance Policy or otherwise payable to a named executive officer would constitute “parachute payments” within the meaning of Section 280G of the Code and would be subject to the related excise tax under Section 4999 of the Code, then the named executive officer will be entitled to receive either full payment of benefits or such lesser amount which would result in no portion of the benefits being subject to the excise tax, whichever results in the greater amount of after-tax benefits. The Severance Policy does not require us to provide any tax gross-up payments to any named executive officer. </w:t>
      </w:r>
    </w:p>
    <w:p>
      <w:pPr>
        <w:pStyle w:val="TextBody"/>
        <w:bidi w:val="0"/>
        <w:spacing w:lineRule="auto" w:line="268" w:before="120" w:after="283"/>
        <w:jc w:val="left"/>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Under the 2025 Plan and the 2018 Plan, in the event of a merger or change in control, if the successor does not assume, or substitute for an award, the award will fully vest, all restrictions will lapse, all performance goals or other vesting criteria will be deemed achieved at 100% of target levels and the award will become fully exercisable, unless specifically provided otherwise under the applicable award agreement or other written agreement with the participant authorized by the administrator.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474345"/>
                <wp:effectExtent l="0" t="0" r="0" b="0"/>
                <wp:wrapNone/>
                <wp:docPr id="128" name="Frame124"/>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before="0" w:after="240"/>
        <w:jc w:val="center"/>
        <w:rPr/>
      </w:pPr>
      <w:r>
        <w:rPr/>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of a merger or change in control, awards granted to a non-employee director under the 2025 Plan while such individual was a non-employee director will fully vest, all restrictions on such awards will lapse, all performance goals or other vesting criteria applicable to such awards will be deemed achieved at 100% of target levels and such awards will become fully exercisable, unless specifically provided otherwise under the applicable award agreement or other written agreement with the non-employee director authorized by the administrator. </w:t>
      </w:r>
    </w:p>
    <w:p>
      <w:pPr>
        <w:pStyle w:val="TextBody"/>
        <w:bidi w:val="0"/>
        <w:spacing w:lineRule="auto" w:line="268" w:before="120" w:after="283"/>
        <w:ind w:left="0" w:right="0" w:firstLine="490"/>
        <w:jc w:val="left"/>
        <w:rPr/>
      </w:pPr>
      <w:r>
        <w:rPr>
          <w:rFonts w:ascii="Times New Roman;serif" w:hAnsi="Times New Roman;serif"/>
          <w:b w:val="false"/>
          <w:color w:val="000000"/>
          <w:sz w:val="20"/>
        </w:rPr>
        <w:t>Under</w:t>
      </w:r>
      <w:r>
        <w:rPr>
          <w:color w:val="000000"/>
        </w:rPr>
        <w:t xml:space="preserve"> </w:t>
      </w:r>
      <w:r>
        <w:rPr>
          <w:rFonts w:ascii="Times New Roman;serif" w:hAnsi="Times New Roman;serif"/>
          <w:b w:val="false"/>
          <w:color w:val="000000"/>
          <w:sz w:val="20"/>
        </w:rPr>
        <w:t>our 2025 Employee Stock Purchase Plan (the “ESPP”), in the event of a merger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will end. The new exercise date will occur before the date of the proposed merger or change in control. The administrator of the ESPP will notify each participant prior to the new exercise date, that the exercise date for the option has been changed to the new exercise date and that the participant’s option will be exercised automatically on the new exercise date, unless prior to such date the participant has withdrawn from the offering period.</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 xml:space="preserve">Benefits and Perquisites </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provide benefits to our named executive officers on the same basis as provided to all of our employees, including group life and disability insurance and travel insurance. We do not maintain any executive-specific benefit or perquisite programs. </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 xml:space="preserve">Retirement Benefits </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a 401(k) retirement savings plan, which is intended to be a tax qualified defined contribution plan under Section 401(k) of the Code, for the benefit of its employees, including our named executive officers,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who satisfy certain eligibility requirements. Under the 401(k) plan, eligible employees may elect to defer a portion of their compensation, within the limits prescribed by the Code, on a pre-tax (traditional) or post-tax (Roth) basis, through contributions to the 401(k) plan. As a tax-qualified retirement plan, pre-tax contributions to the 401(k) plan and earnings on those pre-tax contributions are not taxable to the employees until distributed from the 401(k) plan, and earnings on Roth contributions are not taxable when distributed from the 401(k) plan. </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 xml:space="preserve">Compensation Recovery Policy </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consummation of the Business Combination, the Board considered and approved an executive compensation recovery policy (the “Clawback Policy”), applicable to our current and future former executive officers in compliance with the requirements under the Dodd-Frank Wall Street Reform and Consumer Protection Act as implemented by SEC rules and regulations and applicable listing standards. The Clawback Policy provides for the non-discretionary recovery of excess incentive-based compensation from current and former executive officers in the event of an accounting restatement, whether or not the executive officer was at fault for the restatement. As is described in more detail in the Clawback Policy, excess compensation generally is incentive-based compensation that exceeds the amount a covered executive otherwise would have received had the compensation been determined based on the restated amounts. Excess compensation is generally covered by the Clawback Policy if received by an individual following the effective date of the policy and during the three completed fiscal years immediately prior to the date it is determined that an accounting restatement is required, such amounts were received after the individual became an executive officer and such individual was an executive officer at any time during the applicable performance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information regarding the beneficial ownership of our Common Stock as of January 31, 2026, by: </w:t>
      </w:r>
    </w:p>
    <w:p>
      <w:pPr>
        <w:pStyle w:val="TextBody"/>
        <w:bidi w:val="0"/>
        <w:spacing w:lineRule="auto" w:line="268" w:before="120" w:after="120"/>
        <w:ind w:left="0" w:right="0" w:hanging="360"/>
        <w:jc w:val="left"/>
        <w:rPr/>
      </w:pPr>
      <w:r>
        <w:rPr>
          <w:color w:val="000000"/>
        </w:rPr>
        <w:t>•</w:t>
      </w:r>
      <w:r>
        <w:rPr>
          <w:rFonts w:ascii="Times New Roman;serif" w:hAnsi="Times New Roman;serif"/>
          <w:b w:val="false"/>
          <w:color w:val="000000"/>
          <w:sz w:val="20"/>
        </w:rPr>
        <w:t xml:space="preserve">each person known to us to be the beneficial owner of more than 5% of each class of our equity securities; </w:t>
      </w:r>
    </w:p>
    <w:p>
      <w:pPr>
        <w:pStyle w:val="TextBody"/>
        <w:bidi w:val="0"/>
        <w:spacing w:lineRule="auto" w:line="268" w:before="120" w:after="120"/>
        <w:ind w:left="0" w:right="0" w:hanging="360"/>
        <w:jc w:val="left"/>
        <w:rPr/>
      </w:pPr>
      <w:r>
        <w:rPr>
          <w:color w:val="000000"/>
        </w:rPr>
        <w:t>•</w:t>
      </w:r>
      <w:r>
        <w:rPr>
          <w:rFonts w:ascii="Times New Roman;serif" w:hAnsi="Times New Roman;serif"/>
          <w:b w:val="false"/>
          <w:color w:val="000000"/>
          <w:sz w:val="20"/>
        </w:rPr>
        <w:t xml:space="preserve">each of our named executive officers and directors; and </w:t>
      </w:r>
    </w:p>
    <w:p>
      <w:pPr>
        <w:pStyle w:val="TextBody"/>
        <w:bidi w:val="0"/>
        <w:spacing w:lineRule="auto" w:line="268" w:before="120" w:after="120"/>
        <w:ind w:left="0" w:right="0" w:hanging="360"/>
        <w:jc w:val="left"/>
        <w:rPr/>
      </w:pPr>
      <w:r>
        <w:rPr>
          <w:color w:val="000000"/>
        </w:rPr>
        <w:t>•</w:t>
      </w:r>
      <w:r>
        <w:rPr>
          <w:rFonts w:ascii="Times New Roman;serif" w:hAnsi="Times New Roman;serif"/>
          <w:b w:val="false"/>
          <w:color w:val="000000"/>
          <w:sz w:val="20"/>
        </w:rPr>
        <w:t xml:space="preserve">all of our executive officers and directors as a group. </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Securities issuable upon exercise of options and warrants currently exercisable within 60 days are deemed outstanding solely for purposes of calculating the percentage of total voting power of the beneficial owner thereof. </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beneficial ownership percentages set forth in the table below are based on 182,473,141 shares of our Common Stock issued and outstanding and 142,155 shares of our Preferred Stock issued and outstanding as of January 31, 2026.</w:t>
      </w:r>
    </w:p>
    <w:p>
      <w:pPr>
        <w:pStyle w:val="TextBody"/>
        <w:bidi w:val="0"/>
        <w:spacing w:lineRule="auto" w:line="26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Unless otherwise indicated, we believe that each beneficial owner named in the table below has the sole voting and investment power with respect to all securities beneficially owned by such beneficial owner and the business address of each of the following entities or individuals is 1049 Terra Bella Avenue, Mountain View, California 94043.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474345"/>
                <wp:effectExtent l="0" t="0" r="0" b="0"/>
                <wp:wrapNone/>
                <wp:docPr id="129" name="Frame125"/>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before="0" w:after="240"/>
        <w:jc w:val="center"/>
        <w:rPr/>
      </w:pPr>
      <w:r>
        <w:rPr/>
      </w:r>
    </w:p>
    <w:tbl>
      <w:tblPr>
        <w:tblW w:w="10205" w:type="dxa"/>
        <w:jc w:val="left"/>
        <w:tblInd w:w="0" w:type="dxa"/>
        <w:tblLayout w:type="fixed"/>
        <w:tblCellMar>
          <w:top w:w="28" w:type="dxa"/>
          <w:left w:w="28" w:type="dxa"/>
          <w:bottom w:w="28" w:type="dxa"/>
          <w:right w:w="28" w:type="dxa"/>
        </w:tblCellMar>
      </w:tblPr>
      <w:tblGrid>
        <w:gridCol w:w="1733"/>
        <w:gridCol w:w="1256"/>
        <w:gridCol w:w="1260"/>
        <w:gridCol w:w="892"/>
        <w:gridCol w:w="692"/>
        <w:gridCol w:w="518"/>
        <w:gridCol w:w="214"/>
        <w:gridCol w:w="214"/>
        <w:gridCol w:w="216"/>
        <w:gridCol w:w="151"/>
        <w:gridCol w:w="151"/>
        <w:gridCol w:w="151"/>
        <w:gridCol w:w="151"/>
        <w:gridCol w:w="151"/>
        <w:gridCol w:w="536"/>
        <w:gridCol w:w="536"/>
        <w:gridCol w:w="538"/>
        <w:gridCol w:w="155"/>
        <w:gridCol w:w="155"/>
        <w:gridCol w:w="156"/>
        <w:gridCol w:w="109"/>
        <w:gridCol w:w="109"/>
        <w:gridCol w:w="161"/>
      </w:tblGrid>
      <w:tr>
        <w:trPr/>
        <w:tc>
          <w:tcPr>
            <w:tcW w:w="1733"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Name of Beneficial Owner</w:t>
            </w:r>
          </w:p>
        </w:tc>
        <w:tc>
          <w:tcPr>
            <w:tcW w:w="210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Shares of Common Stock</w:t>
            </w:r>
          </w:p>
        </w:tc>
        <w:tc>
          <w:tcPr>
            <w:tcW w:w="64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Shares of Preferred Stock</w:t>
            </w:r>
          </w:p>
        </w:tc>
        <w:tc>
          <w:tcPr>
            <w:tcW w:w="46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i/>
                <w:color w:val="000000"/>
                <w:sz w:val="20"/>
              </w:rPr>
            </w:pPr>
            <w:r>
              <w:rPr>
                <w:rFonts w:ascii="Times New Roman;serif" w:hAnsi="Times New Roman;serif"/>
                <w:b/>
                <w:i/>
                <w:color w:val="000000"/>
                <w:sz w:val="20"/>
              </w:rPr>
              <w:t>Five Percent Holders</w:t>
            </w:r>
          </w:p>
        </w:tc>
        <w:tc>
          <w:tcPr>
            <w:tcW w:w="21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Ares Acquisition Holdings II LP (the SPAC Sponsor) and SPAC Sponsor Affiliate Investor</w:t>
            </w:r>
            <w:r>
              <w:rPr>
                <w:rFonts w:ascii="Times New Roman;serif" w:hAnsi="Times New Roman;serif"/>
                <w:b w:val="false"/>
                <w:color w:val="000000"/>
                <w:sz w:val="15"/>
              </w:rPr>
              <w:t>(1)</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30,391,627 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45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Alyeska Master Fund, L.P.</w:t>
            </w:r>
            <w:r>
              <w:rPr>
                <w:rFonts w:ascii="Times New Roman;serif" w:hAnsi="Times New Roman;serif"/>
                <w:b w:val="false"/>
                <w:color w:val="000000"/>
                <w:sz w:val="15"/>
              </w:rPr>
              <w:t>(2)</w:t>
            </w:r>
          </w:p>
        </w:tc>
        <w:tc>
          <w:tcPr>
            <w:tcW w:w="158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20,049,767 </w:t>
            </w:r>
          </w:p>
        </w:tc>
        <w:tc>
          <w:tcPr>
            <w:tcW w:w="5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45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122,549</w:t>
            </w:r>
          </w:p>
        </w:tc>
        <w:tc>
          <w:tcPr>
            <w:tcW w:w="466"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86.2</w:t>
            </w:r>
          </w:p>
        </w:tc>
        <w:tc>
          <w:tcPr>
            <w:tcW w:w="37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Paz Eshel Living Trust Dated August 25, 2025</w:t>
            </w:r>
            <w:r>
              <w:rPr>
                <w:rFonts w:ascii="Times New Roman;serif" w:hAnsi="Times New Roman;serif"/>
                <w:b w:val="false"/>
                <w:color w:val="000000"/>
                <w:sz w:val="15"/>
              </w:rPr>
              <w:t>(3)</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17,075,095 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45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Entities affiliated with SIP</w:t>
            </w:r>
            <w:r>
              <w:rPr>
                <w:rFonts w:ascii="Times New Roman;serif" w:hAnsi="Times New Roman;serif"/>
                <w:b w:val="false"/>
                <w:color w:val="000000"/>
                <w:sz w:val="15"/>
              </w:rPr>
              <w:t>(4)</w:t>
            </w:r>
          </w:p>
        </w:tc>
        <w:tc>
          <w:tcPr>
            <w:tcW w:w="158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12,543,199 </w:t>
            </w:r>
          </w:p>
        </w:tc>
        <w:tc>
          <w:tcPr>
            <w:tcW w:w="5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45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66"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Entities affiliated with Battery</w:t>
            </w:r>
            <w:r>
              <w:rPr>
                <w:rFonts w:ascii="Times New Roman;serif" w:hAnsi="Times New Roman;serif"/>
                <w:b w:val="false"/>
                <w:color w:val="000000"/>
                <w:sz w:val="15"/>
              </w:rPr>
              <w:t>(5)</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11,356,669 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45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Entities affiliated with Soros</w:t>
            </w:r>
            <w:r>
              <w:rPr>
                <w:rFonts w:ascii="Times New Roman;serif" w:hAnsi="Times New Roman;serif"/>
                <w:b w:val="false"/>
                <w:color w:val="000000"/>
                <w:sz w:val="15"/>
              </w:rPr>
              <w:t>(6)</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9,967,978 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45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Entities affiliated with LMR</w:t>
            </w:r>
            <w:r>
              <w:rPr>
                <w:rFonts w:ascii="Times New Roman;serif" w:hAnsi="Times New Roman;serif"/>
                <w:b w:val="false"/>
                <w:color w:val="000000"/>
                <w:sz w:val="15"/>
              </w:rPr>
              <w:t>(7)(8)</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5,352,912 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5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19,606</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Directors and Named Executive Officers</w:t>
            </w:r>
          </w:p>
        </w:tc>
        <w:tc>
          <w:tcPr>
            <w:tcW w:w="2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Don Burnette</w:t>
            </w:r>
            <w:r>
              <w:rPr>
                <w:rFonts w:ascii="Times New Roman;serif" w:hAnsi="Times New Roman;serif"/>
                <w:b w:val="false"/>
                <w:color w:val="000000"/>
                <w:sz w:val="15"/>
              </w:rPr>
              <w:t>(9)</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27,491,670 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45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Surajit Datta</w:t>
            </w:r>
          </w:p>
        </w:tc>
        <w:tc>
          <w:tcPr>
            <w:tcW w:w="1584" w:type="dxa"/>
            <w:gridSpan w:val="2"/>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5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66"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Michael Wiesinger</w:t>
            </w:r>
            <w:r>
              <w:rPr>
                <w:rFonts w:ascii="Times New Roman;serif" w:hAnsi="Times New Roman;serif"/>
                <w:b w:val="false"/>
                <w:color w:val="000000"/>
                <w:sz w:val="15"/>
              </w:rPr>
              <w:t>(10)</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1,681,821 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Mohamed Elshenawy</w:t>
            </w:r>
          </w:p>
        </w:tc>
        <w:tc>
          <w:tcPr>
            <w:tcW w:w="1584" w:type="dxa"/>
            <w:gridSpan w:val="2"/>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5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66"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Kenneth Goldman</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James Reed</w:t>
            </w:r>
            <w:r>
              <w:rPr>
                <w:rFonts w:ascii="Times New Roman;serif" w:hAnsi="Times New Roman;serif"/>
                <w:b w:val="false"/>
                <w:color w:val="000000"/>
                <w:sz w:val="15"/>
              </w:rPr>
              <w:t>(11)</w:t>
            </w:r>
          </w:p>
        </w:tc>
        <w:tc>
          <w:tcPr>
            <w:tcW w:w="158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1,039,282 </w:t>
            </w:r>
          </w:p>
        </w:tc>
        <w:tc>
          <w:tcPr>
            <w:tcW w:w="5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66"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Allyson Satin</w:t>
            </w:r>
            <w:r>
              <w:rPr>
                <w:rFonts w:ascii="Times New Roman;serif" w:hAnsi="Times New Roman;serif"/>
                <w:b w:val="false"/>
                <w:color w:val="000000"/>
                <w:sz w:val="15"/>
              </w:rPr>
              <w:t>(12)</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59,242 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Kristin Sverchek</w:t>
            </w:r>
          </w:p>
        </w:tc>
        <w:tc>
          <w:tcPr>
            <w:tcW w:w="1584" w:type="dxa"/>
            <w:gridSpan w:val="2"/>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5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66"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Scott Tobin</w:t>
            </w:r>
            <w:r>
              <w:rPr>
                <w:rFonts w:ascii="Times New Roman;serif" w:hAnsi="Times New Roman;serif"/>
                <w:b w:val="false"/>
                <w:color w:val="000000"/>
                <w:sz w:val="15"/>
              </w:rPr>
              <w:t>(5)</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11,356,669 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45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20"/>
              </w:rPr>
              <w:t>All Directors and Executive Officers as a Group (12 Individuals)</w:t>
            </w:r>
            <w:r>
              <w:rPr>
                <w:rFonts w:ascii="Times New Roman;serif" w:hAnsi="Times New Roman;serif"/>
                <w:b w:val="false"/>
                <w:color w:val="000000"/>
                <w:sz w:val="15"/>
              </w:rPr>
              <w:t>(13)</w:t>
            </w:r>
          </w:p>
        </w:tc>
        <w:tc>
          <w:tcPr>
            <w:tcW w:w="158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55,454,512 </w:t>
            </w:r>
          </w:p>
        </w:tc>
        <w:tc>
          <w:tcPr>
            <w:tcW w:w="5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45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66"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0" w:type="dxa"/>
            <w:gridSpan w:val="17"/>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w:t>
            </w:r>
          </w:p>
        </w:tc>
        <w:tc>
          <w:tcPr>
            <w:tcW w:w="845" w:type="dxa"/>
            <w:gridSpan w:val="6"/>
            <w:tcBorders/>
          </w:tcPr>
          <w:p>
            <w:pPr>
              <w:pStyle w:val="TableContents"/>
              <w:bidi w:val="0"/>
              <w:spacing w:before="0" w:after="283"/>
              <w:jc w:val="left"/>
              <w:rPr>
                <w:sz w:val="4"/>
                <w:szCs w:val="4"/>
              </w:rPr>
            </w:pPr>
            <w:r>
              <w:rPr>
                <w:sz w:val="4"/>
                <w:szCs w:val="4"/>
              </w:rPr>
            </w:r>
          </w:p>
        </w:tc>
      </w:tr>
      <w:tr>
        <w:trPr/>
        <w:tc>
          <w:tcPr>
            <w:tcW w:w="9360" w:type="dxa"/>
            <w:gridSpan w:val="17"/>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*Represents beneficial ownership of less than 1%.</w:t>
            </w:r>
          </w:p>
        </w:tc>
        <w:tc>
          <w:tcPr>
            <w:tcW w:w="845" w:type="dxa"/>
            <w:gridSpan w:val="6"/>
            <w:tcBorders/>
          </w:tcPr>
          <w:p>
            <w:pPr>
              <w:pStyle w:val="TableContents"/>
              <w:bidi w:val="0"/>
              <w:spacing w:before="0" w:after="283"/>
              <w:jc w:val="left"/>
              <w:rPr>
                <w:sz w:val="4"/>
                <w:szCs w:val="4"/>
              </w:rPr>
            </w:pPr>
            <w:r>
              <w:rPr>
                <w:sz w:val="4"/>
                <w:szCs w:val="4"/>
              </w:rPr>
            </w:r>
          </w:p>
        </w:tc>
      </w:tr>
      <w:tr>
        <w:trPr/>
        <w:tc>
          <w:tcPr>
            <w:tcW w:w="9360" w:type="dxa"/>
            <w:gridSpan w:val="17"/>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(1) Based solely on a Schedule 13G/A filed with the SEC on November 12, 2025. Consists of (i) 12,500,000 shares of Common Stock held by the SPAC Sponsor, of which 6,250,000 of the shares held by the SPAC Sponsor are Sponsor Earn Out Shares that are subject to vesting and vest upon the occurrence of Triggering Event I during the Earn Out Period as described above, (ii) 3,591,627 shares of Common Stock held by the SPAC Sponsor Affiliate Investor and (iii) 14,300,000 shares of Common Stock issuable upon exercise of 14,300,000 Private Placement Warrants purchased by the SPAC Sponsor in connection with AACT’s initial public offering held by the SPAC Sponsor. The SPAC Sponsor is a Cayman Islands exempted limited partnership managed by affiliates of Ares. The SPAC Sponsor Affiliate Investor, AAC II Holdings II LP, is a Delaware limited partnership managed by affiliates of Ares. Ares Acquisition Holdings II is the general partner of the SPAC Sponsor. Ares Holdings L.P. is the sole shareholder of Ares Acquisition Holdings II and the general partner of the SPAC Sponsor Affiliate Investor. Ares Holdings L.P. is an indirect subsidiary of Ares. Ares Management GP LLC (“Ares Management GP”) is the sole holder of the Class B common stock, $0.01 par value per share, of Ares (the “Ares Class B Common Stock”) and Ares Voting LLC (“Ares Voting”) is the sole holder of the Class C common stock, $0.01 par value per share, of Ares (the “Ares Class C Common Stock”). Pursuant to Ares’ Certificate of Incorporation, the holders of the Ares Class B Common Stock and the Ares Class C Common Stock, collectively, will generally have the majority of the votes on any matter submitted to the stockholders of Ares if certain conditions are met. The sole member of both Ares Management GP and Ares Voting is Ares Partners Holdco LLC (“Ares Partners”). Ares Partners is managed by a board of managers, which is composed of Michael J Arougheti, R. Kipp deVeer, David B. Kaplan, Antony P. Ressler and Bennett Rosenthal (collectively, the “Ares Partners Board Members”). Mr. Ressler generally has veto authority over decisions of the Ares Partners Board Members. The principal business address of the SPAC Sponsor and the SPAC Sponsor Affiliate Investor is c/o Ares Management LLC, 245 Park Avenue, 44th Floor, New York, NY 10167.</w:t>
            </w:r>
          </w:p>
        </w:tc>
        <w:tc>
          <w:tcPr>
            <w:tcW w:w="845" w:type="dxa"/>
            <w:gridSpan w:val="6"/>
            <w:tcBorders/>
          </w:tcPr>
          <w:p>
            <w:pPr>
              <w:pStyle w:val="TableContents"/>
              <w:bidi w:val="0"/>
              <w:spacing w:before="0" w:after="283"/>
              <w:jc w:val="left"/>
              <w:rPr>
                <w:sz w:val="4"/>
                <w:szCs w:val="4"/>
              </w:rPr>
            </w:pPr>
            <w:r>
              <w:rPr>
                <w:sz w:val="4"/>
                <w:szCs w:val="4"/>
              </w:rPr>
            </w:r>
          </w:p>
        </w:tc>
      </w:tr>
      <w:tr>
        <w:trPr/>
        <w:tc>
          <w:tcPr>
            <w:tcW w:w="9360" w:type="dxa"/>
            <w:gridSpan w:val="17"/>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(2) Consists of (i) 15,318,625 shares of Common Stock issuable upon the exercise of 15,318,625 PIPE Warrants held by Alyeska Master Fund, L.P. (“Alyeska”), (ii) 5,155,518 shares of Common Stock issuable upon exercise of 5,155,518 Public Warrants held by Alyeska and (iii) 122,549 shares of Preferred Stock held by Alyeska, convertible into 12,486,313 shares of Common Stock, subject to a 9.9% beneficial ownership limitation. Alyeska Investment Group, L.P., the investment manager of Alyeska, has voting and investment control of the shares held by Alyeska. Anand Parekh is the Chief Executive Officer of Alyeska Investment Group, L.P. and may be deemed to be the beneficial owner of such shares. Mr. Parekh, however, disclaims any beneficial ownership of the shares held by Alyeska. The registered address of Alyeska is at c/o Maples Corporate Services Limited, P.O. Box 309, Ugland House, South Church Street George Town, Grand Cayman, KY1-1104, Cayman Islands. Alyeska Investment Group, L.P. is located at 77 W. Wacker, Suite 700, Chicago, IL 60601.</w:t>
            </w:r>
          </w:p>
        </w:tc>
        <w:tc>
          <w:tcPr>
            <w:tcW w:w="845" w:type="dxa"/>
            <w:gridSpan w:val="6"/>
            <w:tcBorders/>
          </w:tcPr>
          <w:p>
            <w:pPr>
              <w:pStyle w:val="TableContents"/>
              <w:bidi w:val="0"/>
              <w:spacing w:before="0" w:after="283"/>
              <w:jc w:val="left"/>
              <w:rPr>
                <w:sz w:val="4"/>
                <w:szCs w:val="4"/>
              </w:rPr>
            </w:pPr>
            <w:r>
              <w:rPr>
                <w:sz w:val="4"/>
                <w:szCs w:val="4"/>
              </w:rPr>
            </w:r>
          </w:p>
        </w:tc>
      </w:tr>
      <w:tr>
        <w:trPr/>
        <w:tc>
          <w:tcPr>
            <w:tcW w:w="9360" w:type="dxa"/>
            <w:gridSpan w:val="17"/>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(3) Based solely on a Schedule 13G filed with the SEC on October 1, 2025. Mr. Paz Eshel is the sole trustee of the Paz Eshel Living Trust Dated August 25, 2025 and has dispositive power over the shares of Common Stock held thereby. The business address is 2261 Market Street, Suite 85377, San Francisco, CA 94114.</w:t>
            </w:r>
          </w:p>
        </w:tc>
        <w:tc>
          <w:tcPr>
            <w:tcW w:w="845" w:type="dxa"/>
            <w:gridSpan w:val="6"/>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474345"/>
                <wp:effectExtent l="0" t="0" r="0" b="0"/>
                <wp:wrapNone/>
                <wp:docPr id="130" name="Frame126"/>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before="0" w:after="240"/>
        <w:jc w:val="center"/>
        <w:rPr/>
      </w:pPr>
      <w:r>
        <w:rPr/>
      </w:r>
    </w:p>
    <w:tbl>
      <w:tblPr>
        <w:tblW w:w="10205" w:type="dxa"/>
        <w:jc w:val="left"/>
        <w:tblInd w:w="0" w:type="dxa"/>
        <w:tblLayout w:type="fixed"/>
        <w:tblCellMar>
          <w:top w:w="28" w:type="dxa"/>
          <w:left w:w="28" w:type="dxa"/>
          <w:bottom w:w="28" w:type="dxa"/>
          <w:right w:w="28" w:type="dxa"/>
        </w:tblCellMar>
      </w:tblPr>
      <w:tblGrid>
        <w:gridCol w:w="631"/>
        <w:gridCol w:w="554"/>
        <w:gridCol w:w="554"/>
        <w:gridCol w:w="554"/>
        <w:gridCol w:w="554"/>
        <w:gridCol w:w="554"/>
        <w:gridCol w:w="554"/>
        <w:gridCol w:w="554"/>
        <w:gridCol w:w="554"/>
        <w:gridCol w:w="554"/>
        <w:gridCol w:w="554"/>
        <w:gridCol w:w="554"/>
        <w:gridCol w:w="554"/>
        <w:gridCol w:w="554"/>
        <w:gridCol w:w="554"/>
        <w:gridCol w:w="554"/>
        <w:gridCol w:w="554"/>
        <w:gridCol w:w="109"/>
        <w:gridCol w:w="109"/>
        <w:gridCol w:w="109"/>
        <w:gridCol w:w="109"/>
        <w:gridCol w:w="109"/>
        <w:gridCol w:w="165"/>
      </w:tblGrid>
      <w:tr>
        <w:trPr/>
        <w:tc>
          <w:tcPr>
            <w:tcW w:w="63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495" w:type="dxa"/>
            <w:gridSpan w:val="17"/>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(4) Based solely on a Schedule 13G filed with the SEC on September 30, 2025. Consists of (i) 2,990,929 shares of Common Stock held of record by SIP Global Tech Fund I, L.P., (ii) 1,454,910 shares of Common Stock held of record by SIP Global Tech Opportunity LLC, (iii) 1,117,486 shares of Common Stock held of record by SIP Global Tech Opportunity 3 LLC and (iv) 6,979,874 shares of Common Stock held of record by SIP Global Tech Opportunity 4 LLC (collectively referred to as “SIP”). The sole general partner of SIP Global Tech Fund I, L.P. is SIP Global Tech Fund I, Inc. The managing members of SIP Global Tech Fund I, Inc. who may be deemed to share voting and dispositive power with respect to the shares held by SIP Global Tech Fund I, L.P. are Jeffrey Smith, Justin Turkat, and Shigeki Saitoh. The manager of the rest of the SIP entities is SIP Global Opportunity Manager LLC. The managing members who may be deemed to share voting and dispositive power with respect to the shares held by SIP Global Tech Opportunity LLC, SIP Global Tech Opportunity 3 LLC and SIP Global Tech Opportunity 4 LLC are Matthew Salloway, Justin Turkat and Shigeki Saitoh. Each of the foregoing persons disclaims beneficial ownership of these shares except to the extent of his/her pecuniary interest therein. The address of SIP Global Tech Fund I, Inc. is C/O Conyers Trust Company (Cayman) Limited, Cricket Square, Hutchins Dr., P.O. Box 2681, George Town, Grand Cayman KY1-1111 Cayman Islands. The address of SIP Global Opportunity Manager LLC is 16192 Coastal Hwy, Lewes, DE 19958.</w:t>
            </w:r>
          </w:p>
        </w:tc>
        <w:tc>
          <w:tcPr>
            <w:tcW w:w="710" w:type="dxa"/>
            <w:gridSpan w:val="6"/>
            <w:tcBorders/>
          </w:tcPr>
          <w:p>
            <w:pPr>
              <w:pStyle w:val="TableContents"/>
              <w:bidi w:val="0"/>
              <w:spacing w:before="0" w:after="283"/>
              <w:jc w:val="left"/>
              <w:rPr>
                <w:sz w:val="4"/>
                <w:szCs w:val="4"/>
              </w:rPr>
            </w:pPr>
            <w:r>
              <w:rPr>
                <w:sz w:val="4"/>
                <w:szCs w:val="4"/>
              </w:rPr>
            </w:r>
          </w:p>
        </w:tc>
      </w:tr>
      <w:tr>
        <w:trPr/>
        <w:tc>
          <w:tcPr>
            <w:tcW w:w="9495" w:type="dxa"/>
            <w:gridSpan w:val="17"/>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(5) Based solely on a Schedule 13D filed with the SEC on October 1, 2025. Consists of (i) 215,770 shares of Common Stock held of record by Battery Investment Partners XII, LLC (“BIP XII”), and (ii) 11,140,899 shares of Common Stock held of record by Battery Ventures XII, L.P. (“BV XII” and together with BIP XII, “Battery”). The sole general partner of BV XII is Battery Partners XII, LLC (“BP XII”) and the sole managing member of BIP XII is BP XII. The managing members of BP XII who may be deemed to share voting and dispositive power with respect to the shares held by BV XII and BIP XII are Neeraj Agrawal, Michael Brown, Morad Elhafed, Jesse Feldman, Russell Fleischer, Roger Lee, Chelsea Stoner, Dharmesh Thakker, and Scott Tobin. The address of each of these entities is One Marina Park Drive, Suite 1100, Boston, MA 02210.</w:t>
            </w:r>
          </w:p>
        </w:tc>
        <w:tc>
          <w:tcPr>
            <w:tcW w:w="710" w:type="dxa"/>
            <w:gridSpan w:val="6"/>
            <w:tcBorders/>
          </w:tcPr>
          <w:p>
            <w:pPr>
              <w:pStyle w:val="TableContents"/>
              <w:bidi w:val="0"/>
              <w:spacing w:before="0" w:after="283"/>
              <w:jc w:val="left"/>
              <w:rPr>
                <w:sz w:val="4"/>
                <w:szCs w:val="4"/>
              </w:rPr>
            </w:pPr>
            <w:r>
              <w:rPr>
                <w:sz w:val="4"/>
                <w:szCs w:val="4"/>
              </w:rPr>
            </w:r>
          </w:p>
        </w:tc>
      </w:tr>
      <w:tr>
        <w:trPr/>
        <w:tc>
          <w:tcPr>
            <w:tcW w:w="9495" w:type="dxa"/>
            <w:gridSpan w:val="17"/>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(6) Based solely on a Schedule 13G filed with the SEC on October 1, 2025. Consists of 9,967,978 shares of Common Stock held by Quantum Partners LP, a Cayman Islands exempted limited partnership ("Quantum Partners"), and certain other funds/accounts (together with Quantum Partners, the “Soros Accounts”). Soros Fund Management LLC (“SFM LLC”) serves as investment manager to each of the Soros Accounts. As such, SFM LLC has been granted investment discretion over portfolio investments, including the Common Stock held for the Soros Accounts. George Soros serves as Chairman of SFM LLC and has sole discretion to replace FPR Manager LLC, the manager of SFM LLC. The address for SFM LLC and George Soros is 250 West 55th Street, New York, NY 10019.</w:t>
            </w:r>
          </w:p>
        </w:tc>
        <w:tc>
          <w:tcPr>
            <w:tcW w:w="710" w:type="dxa"/>
            <w:gridSpan w:val="6"/>
            <w:tcBorders/>
          </w:tcPr>
          <w:p>
            <w:pPr>
              <w:pStyle w:val="TableContents"/>
              <w:bidi w:val="0"/>
              <w:spacing w:before="0" w:after="283"/>
              <w:jc w:val="left"/>
              <w:rPr>
                <w:sz w:val="4"/>
                <w:szCs w:val="4"/>
              </w:rPr>
            </w:pPr>
            <w:r>
              <w:rPr>
                <w:sz w:val="4"/>
                <w:szCs w:val="4"/>
              </w:rPr>
            </w:r>
          </w:p>
        </w:tc>
      </w:tr>
      <w:tr>
        <w:trPr/>
        <w:tc>
          <w:tcPr>
            <w:tcW w:w="9495" w:type="dxa"/>
            <w:gridSpan w:val="17"/>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(7) Consists of (i) 1,225,375 shares of Common Stock issuable upon exercise of 1,225,375 PIPE Warrants held by LMR Multi-Strategy Master Fund Limited (“LMR Multi-Strategy”), (ii) 1,451,081 shares of Common Stock issuable upon exercise of 1,451,081 Public Warrants held by LMR Multi-Strategy and (iii) 9,803 shares of Preferred Stock held by LMR Multi-Strategy, convertible into up to 998,811 shares of Common Stock, subject to a 9.9% beneficial ownership limitation. Investment discretion of LMR Multi-Strategy, including but not limited to the voting and dispositive power of the shares, has been delegated to LMR Partners AG (“LMR”) and certain of its affiliates. LMR and its affiliates disclaim beneficial ownership of the securities. The address for LMR is Ground Floor, Glärnischstrasse 8, 8002 Zürich, Switzerland.</w:t>
            </w:r>
          </w:p>
        </w:tc>
        <w:tc>
          <w:tcPr>
            <w:tcW w:w="710" w:type="dxa"/>
            <w:gridSpan w:val="6"/>
            <w:tcBorders/>
          </w:tcPr>
          <w:p>
            <w:pPr>
              <w:pStyle w:val="TableContents"/>
              <w:bidi w:val="0"/>
              <w:spacing w:before="0" w:after="283"/>
              <w:jc w:val="left"/>
              <w:rPr>
                <w:sz w:val="4"/>
                <w:szCs w:val="4"/>
              </w:rPr>
            </w:pPr>
            <w:r>
              <w:rPr>
                <w:sz w:val="4"/>
                <w:szCs w:val="4"/>
              </w:rPr>
            </w:r>
          </w:p>
        </w:tc>
      </w:tr>
      <w:tr>
        <w:trPr/>
        <w:tc>
          <w:tcPr>
            <w:tcW w:w="9495" w:type="dxa"/>
            <w:gridSpan w:val="17"/>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(8) Consists of (i) 1,225,375 shares of Common Stock issuable upon exercise of 1,225,375 PIPE Warrants held by LMR CCSA Master Fund Limited (“LMR CCSA”), (ii) 1,451,081 shares of Common Stock issuable upon exercise of 1,451,081 Public Warrants held by LMR CCSA and (iii) 9,803 shares of Preferred Stock held by LMR CCSA, convertible into up to 998,811 shares of Common Stock, each such conversion subject to a 9.9% beneficial ownership limitation. Investment discretion of LMR CCSA, including but not limited to the voting and dispositive power of the shares, has been delegated to LMR and certain of its affiliates. LMR and its affiliates disclaim beneficial ownership of the securities. The address for LMR is Ground Floor, Glärnischstrasse 8, 8002 Zürich, Switzerland.</w:t>
            </w:r>
          </w:p>
        </w:tc>
        <w:tc>
          <w:tcPr>
            <w:tcW w:w="710" w:type="dxa"/>
            <w:gridSpan w:val="6"/>
            <w:tcBorders/>
          </w:tcPr>
          <w:p>
            <w:pPr>
              <w:pStyle w:val="TableContents"/>
              <w:bidi w:val="0"/>
              <w:spacing w:before="0" w:after="283"/>
              <w:jc w:val="left"/>
              <w:rPr>
                <w:sz w:val="4"/>
                <w:szCs w:val="4"/>
              </w:rPr>
            </w:pPr>
            <w:r>
              <w:rPr>
                <w:sz w:val="4"/>
                <w:szCs w:val="4"/>
              </w:rPr>
            </w:r>
          </w:p>
        </w:tc>
      </w:tr>
      <w:tr>
        <w:trPr/>
        <w:tc>
          <w:tcPr>
            <w:tcW w:w="9495" w:type="dxa"/>
            <w:gridSpan w:val="17"/>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(9) Consists of (i) 25,915,204 shares of Common Stock held by Donald Burnette, (ii) 1,385,765 shares of Common Stock held by Citizens Trust Company of Delaware, Trustee of the Burnette Family Irrevocable Trust dated August 11, 2025 (the “Family Trust”), and (iii) 190,701 shares of Common Stock subject to stock options exercisable within 60 days of January 31, 2026. Mr. Burnette and Mr. Burnette’s spouse have shared voting and dispositive power with respect to the shares held by the Family Trust.</w:t>
            </w:r>
          </w:p>
        </w:tc>
        <w:tc>
          <w:tcPr>
            <w:tcW w:w="710" w:type="dxa"/>
            <w:gridSpan w:val="6"/>
            <w:tcBorders/>
          </w:tcPr>
          <w:p>
            <w:pPr>
              <w:pStyle w:val="TableContents"/>
              <w:bidi w:val="0"/>
              <w:spacing w:before="0" w:after="283"/>
              <w:jc w:val="left"/>
              <w:rPr>
                <w:sz w:val="4"/>
                <w:szCs w:val="4"/>
              </w:rPr>
            </w:pPr>
            <w:r>
              <w:rPr>
                <w:sz w:val="4"/>
                <w:szCs w:val="4"/>
              </w:rPr>
            </w:r>
          </w:p>
        </w:tc>
      </w:tr>
      <w:tr>
        <w:trPr/>
        <w:tc>
          <w:tcPr>
            <w:tcW w:w="9495" w:type="dxa"/>
            <w:gridSpan w:val="17"/>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(10) Consists of (i) 178,740 shares of Common Stock and (ii) 1,503,081 shares of Common Stock subject to stock options exercisable within 60 days of January 31, 2026.</w:t>
            </w:r>
          </w:p>
        </w:tc>
        <w:tc>
          <w:tcPr>
            <w:tcW w:w="710" w:type="dxa"/>
            <w:gridSpan w:val="6"/>
            <w:tcBorders/>
          </w:tcPr>
          <w:p>
            <w:pPr>
              <w:pStyle w:val="TableContents"/>
              <w:bidi w:val="0"/>
              <w:spacing w:before="0" w:after="283"/>
              <w:jc w:val="left"/>
              <w:rPr>
                <w:sz w:val="4"/>
                <w:szCs w:val="4"/>
              </w:rPr>
            </w:pPr>
            <w:r>
              <w:rPr>
                <w:sz w:val="4"/>
                <w:szCs w:val="4"/>
              </w:rPr>
            </w:r>
          </w:p>
        </w:tc>
      </w:tr>
      <w:tr>
        <w:trPr/>
        <w:tc>
          <w:tcPr>
            <w:tcW w:w="9495" w:type="dxa"/>
            <w:gridSpan w:val="17"/>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(11) Consists of 1,039,282 shares of Common Stock subject to stock options exercisable within 60 days of January 31, 2026.</w:t>
            </w:r>
          </w:p>
        </w:tc>
        <w:tc>
          <w:tcPr>
            <w:tcW w:w="710" w:type="dxa"/>
            <w:gridSpan w:val="6"/>
            <w:tcBorders/>
          </w:tcPr>
          <w:p>
            <w:pPr>
              <w:pStyle w:val="TableContents"/>
              <w:bidi w:val="0"/>
              <w:spacing w:before="0" w:after="283"/>
              <w:jc w:val="left"/>
              <w:rPr>
                <w:sz w:val="4"/>
                <w:szCs w:val="4"/>
              </w:rPr>
            </w:pPr>
            <w:r>
              <w:rPr>
                <w:sz w:val="4"/>
                <w:szCs w:val="4"/>
              </w:rPr>
            </w:r>
          </w:p>
        </w:tc>
      </w:tr>
      <w:tr>
        <w:trPr/>
        <w:tc>
          <w:tcPr>
            <w:tcW w:w="9495" w:type="dxa"/>
            <w:gridSpan w:val="17"/>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(12) Consists of 59,242 shares of Common Stock held by the Satin Family Revocable Trust. Ms. Allyson Satin is a trustee of the Satin Family Revocable Trust and has shared dispositive power of the shares of the Common Stock held thereby. The business address of the trust is c/o Ares Management LLC, 1800 Ave of the Stars Ste 1400, Los Angeles, CA 90067.</w:t>
            </w:r>
          </w:p>
        </w:tc>
        <w:tc>
          <w:tcPr>
            <w:tcW w:w="710" w:type="dxa"/>
            <w:gridSpan w:val="6"/>
            <w:tcBorders/>
          </w:tcPr>
          <w:p>
            <w:pPr>
              <w:pStyle w:val="TableContents"/>
              <w:bidi w:val="0"/>
              <w:spacing w:before="0" w:after="283"/>
              <w:jc w:val="left"/>
              <w:rPr>
                <w:sz w:val="4"/>
                <w:szCs w:val="4"/>
              </w:rPr>
            </w:pPr>
            <w:r>
              <w:rPr>
                <w:sz w:val="4"/>
                <w:szCs w:val="4"/>
              </w:rPr>
            </w:r>
          </w:p>
        </w:tc>
      </w:tr>
      <w:tr>
        <w:trPr/>
        <w:tc>
          <w:tcPr>
            <w:tcW w:w="9495" w:type="dxa"/>
            <w:gridSpan w:val="17"/>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(13) Consists of (i) 43,215,664 shares of Common Stock and (ii) 12,238,848 shares of Common Stock subject to stock options exercisable within 60 days of January 31, 2026.</w:t>
            </w:r>
          </w:p>
        </w:tc>
        <w:tc>
          <w:tcPr>
            <w:tcW w:w="710" w:type="dxa"/>
            <w:gridSpan w:val="6"/>
            <w:tcBorders/>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490"/>
        <w:jc w:val="left"/>
        <w:rPr/>
      </w:pPr>
      <w:r>
        <w:rPr>
          <w:rFonts w:ascii="Times New Roman;serif" w:hAnsi="Times New Roman;serif"/>
          <w:b w:val="false"/>
          <w:color w:val="000000"/>
          <w:sz w:val="20"/>
        </w:rPr>
        <w:t>Please see the sections titled “</w:t>
      </w:r>
      <w:r>
        <w:rPr>
          <w:rFonts w:ascii="Times New Roman;serif" w:hAnsi="Times New Roman;serif"/>
          <w:b w:val="false"/>
          <w:i/>
          <w:color w:val="000000"/>
          <w:sz w:val="20"/>
        </w:rPr>
        <w:t>Directors, Executive Officers and Corporate Governance</w:t>
      </w:r>
      <w:r>
        <w:rPr>
          <w:rFonts w:ascii="Times New Roman;serif" w:hAnsi="Times New Roman;serif"/>
          <w:b w:val="false"/>
          <w:color w:val="000000"/>
          <w:sz w:val="20"/>
        </w:rPr>
        <w:t>,” “</w:t>
      </w:r>
      <w:r>
        <w:rPr>
          <w:rFonts w:ascii="Times New Roman;serif" w:hAnsi="Times New Roman;serif"/>
          <w:b w:val="false"/>
          <w:i/>
          <w:color w:val="000000"/>
          <w:sz w:val="20"/>
        </w:rPr>
        <w:t>Executive Compensation</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Certain Relationships and Related Transactions, and Director Independence</w:t>
      </w:r>
      <w:r>
        <w:rPr>
          <w:color w:val="000000"/>
        </w:rPr>
        <w:t xml:space="preserve">” </w:t>
      </w:r>
      <w:r>
        <w:rPr>
          <w:rFonts w:ascii="Times New Roman;serif" w:hAnsi="Times New Roman;serif"/>
          <w:b w:val="false"/>
          <w:color w:val="000000"/>
          <w:sz w:val="20"/>
        </w:rPr>
        <w:t xml:space="preserve">for information regarding material relationships with our principal securityholders within the past two years. </w:t>
      </w:r>
    </w:p>
    <w:p>
      <w:pPr>
        <w:pStyle w:val="TextBody"/>
        <w:bidi w:val="0"/>
        <w:spacing w:before="0" w:after="0"/>
        <w:ind w:left="0" w:right="0" w:firstLine="4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68" w:before="120" w:after="283"/>
        <w:ind w:left="0" w:right="0" w:firstLine="490"/>
        <w:jc w:val="left"/>
        <w:rPr/>
      </w:pPr>
      <w:r>
        <w:rPr>
          <w:rFonts w:ascii="Times New Roman;serif" w:hAnsi="Times New Roman;serif"/>
          <w:b w:val="false"/>
          <w:color w:val="000000"/>
          <w:sz w:val="20"/>
        </w:rPr>
        <w:t>In addition to the compensation arrangements, including employment, termination of employment and change in control arrangements discussed above in the sections titled “</w:t>
      </w:r>
      <w:r>
        <w:rPr>
          <w:rFonts w:ascii="Times New Roman;serif" w:hAnsi="Times New Roman;serif"/>
          <w:b w:val="false"/>
          <w:i/>
          <w:color w:val="000000"/>
          <w:sz w:val="20"/>
        </w:rPr>
        <w:t>Directors, Executive Officers and Corporate Governance—Non-Employee Director Compensation</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Executive Compensation</w:t>
      </w:r>
      <w:r>
        <w:rPr>
          <w:rFonts w:ascii="Times New Roman;serif" w:hAnsi="Times New Roman;serif"/>
          <w:b w:val="false"/>
          <w:color w:val="000000"/>
          <w:sz w:val="20"/>
        </w:rPr>
        <w:t>,” the following is a description of each transaction since January 1, 2025 and each currently proposed transaction in which:</w:t>
      </w:r>
    </w:p>
    <w:p>
      <w:pPr>
        <w:pStyle w:val="TextBody"/>
        <w:bidi w:val="0"/>
        <w:spacing w:lineRule="auto" w:line="268" w:before="120" w:after="120"/>
        <w:ind w:left="0" w:right="0" w:hanging="360"/>
        <w:jc w:val="left"/>
        <w:rPr/>
      </w:pPr>
      <w:r>
        <w:rPr>
          <w:color w:val="000000"/>
        </w:rPr>
        <w:t>•</w:t>
      </w:r>
      <w:r>
        <w:rPr>
          <w:rFonts w:ascii="Times New Roman;serif" w:hAnsi="Times New Roman;serif"/>
          <w:b w:val="false"/>
          <w:color w:val="000000"/>
          <w:sz w:val="20"/>
        </w:rPr>
        <w:t>we have been or are to be a participant;</w:t>
      </w:r>
    </w:p>
    <w:p>
      <w:pPr>
        <w:pStyle w:val="TextBody"/>
        <w:bidi w:val="0"/>
        <w:spacing w:lineRule="auto" w:line="268" w:before="120" w:after="120"/>
        <w:ind w:left="0" w:right="0" w:hanging="360"/>
        <w:jc w:val="left"/>
        <w:rPr/>
      </w:pPr>
      <w:r>
        <w:rPr>
          <w:color w:val="000000"/>
        </w:rPr>
        <w:t>•</w:t>
      </w:r>
      <w:r>
        <w:rPr>
          <w:rFonts w:ascii="Times New Roman;serif" w:hAnsi="Times New Roman;serif"/>
          <w:b w:val="false"/>
          <w:color w:val="000000"/>
          <w:sz w:val="20"/>
        </w:rPr>
        <w:t>the amount involved exceeded or exceeds $120,000; and</w:t>
      </w:r>
    </w:p>
    <w:p>
      <w:pPr>
        <w:pStyle w:val="TextBody"/>
        <w:bidi w:val="0"/>
        <w:spacing w:lineRule="auto" w:line="268" w:before="120" w:after="120"/>
        <w:ind w:left="0" w:right="0" w:hanging="360"/>
        <w:jc w:val="left"/>
        <w:rPr/>
      </w:pPr>
      <w:r>
        <w:rPr>
          <w:color w:val="000000"/>
        </w:rPr>
        <w:t>•</w:t>
      </w:r>
      <w:r>
        <w:rPr>
          <w:rFonts w:ascii="Times New Roman;serif" w:hAnsi="Times New Roman;serif"/>
          <w:b w:val="false"/>
          <w:color w:val="000000"/>
          <w:sz w:val="20"/>
        </w:rPr>
        <w:t>any of our directors, executive officers, or holders of more than 5% of our capital stock, or any immediate family member of, or person sharing the household with, any of these individuals, had or will have a direct or indirect material interest.</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 xml:space="preserve">Related Party Transactions with SPAC Sponsor and SPAC Sponsor Affiliates </w:t>
      </w:r>
    </w:p>
    <w:p>
      <w:pPr>
        <w:pStyle w:val="TextBody"/>
        <w:bidi w:val="0"/>
        <w:spacing w:lineRule="auto" w:line="268" w:before="120" w:after="283"/>
        <w:jc w:val="left"/>
        <w:rPr>
          <w:rFonts w:ascii="Times New Roman;serif" w:hAnsi="Times New Roman;serif"/>
          <w:b/>
          <w:i/>
          <w:color w:val="000000"/>
          <w:sz w:val="20"/>
        </w:rPr>
      </w:pPr>
      <w:r>
        <w:rPr>
          <w:rFonts w:ascii="Times New Roman;serif" w:hAnsi="Times New Roman;serif"/>
          <w:b/>
          <w:i/>
          <w:color w:val="000000"/>
          <w:sz w:val="20"/>
        </w:rPr>
        <w:t xml:space="preserve">AACT Class B Ordinary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474345"/>
                <wp:effectExtent l="0" t="0" r="0" b="0"/>
                <wp:wrapNone/>
                <wp:docPr id="131" name="Frame127"/>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before="0" w:after="240"/>
        <w:jc w:val="center"/>
        <w:rPr/>
      </w:pPr>
      <w:r>
        <w:rPr/>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On April 22, 2025, the SPAC Sponsor converted all of its 12,500,000 AACT Class B Ordinary Shares into AACT Class A Ordinary Shares (the “Converted AACT Class A Ordinary Shares”) on a one-for-one basis, which was subsequently converted into 12,500,000 shares of our Common Stock upon the Domestication. </w:t>
      </w:r>
    </w:p>
    <w:p>
      <w:pPr>
        <w:pStyle w:val="TextBody"/>
        <w:bidi w:val="0"/>
        <w:spacing w:lineRule="auto" w:line="268" w:before="120" w:after="283"/>
        <w:jc w:val="left"/>
        <w:rPr>
          <w:rFonts w:ascii="Times New Roman;serif" w:hAnsi="Times New Roman;serif"/>
          <w:b/>
          <w:i/>
          <w:color w:val="000000"/>
          <w:sz w:val="20"/>
        </w:rPr>
      </w:pPr>
      <w:r>
        <w:rPr>
          <w:rFonts w:ascii="Times New Roman;serif" w:hAnsi="Times New Roman;serif"/>
          <w:b/>
          <w:i/>
          <w:color w:val="000000"/>
          <w:sz w:val="20"/>
        </w:rPr>
        <w:t xml:space="preserve">Private Placement Warrants </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Concurrently with the closing of the IPO, AACT consummated the private placement of 14,300,000 Private Placement Warrants, including 1,000,000 Private Placement Warrants to cover over-allotments, for an aggregate purchase price of $14.3 million in a private placement to the SPAC Sponsor. Each Private Placement Warrant was exercisable to purchase one share of AACT Class A Ordinary Shares at a price of $11.50 per share prior to the Closing and is now exercisable to purchase one share of our Common Stock at a price of $9.28 per share. </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Business Combination Registration Rights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the Closing, AACT, the SPAC Sponsor, and certain Legacy Kodiak Securityholders entered into an A&amp;R Registration Rights Agreement, pursuant to which, among other things, the SPAC Sponsor and such Legacy Kodiak Securityholders are granted certain customary registration rights, on the terms and subject to the conditions therein, with respect to our securities that they hold following the Business Combination. Upon the closing of the Business Combination, the SPAC Sponsor was no longer entitled to nomination rights for appointing a director to our Board.</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Advisory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20, 2023, AACT engaged Ares Management Capital Markets LLC, an affiliate of the SPAC Sponsor, to provide consulting and advisory services to AACT in connection with the IPO and an initial business combination. AMCM received an IPO advisory fee of $2.0 million, paid upon the closing of the IPO. Pursuant to its engagement letter with AACT, AMCM was eligible to receive a deferred IPO advisory fee of $3.5 million, payable solely in the event that the AACT completes an initial business combination. Prior to the execution of the Business Combination Agreement, AACT and AMCM agreed to adjust the aggregate amount payable to AMCM as an IPO advisor upon closing of the Business Combination to $2.8 million. Such fees were reimbursed from a portion of the fees paid to the underwriters of the IPO in connection with the Closing.</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Sponsor Support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14, 2025, the SPAC Sponsor entered into an agreement with AACT and Legacy Kodiak, pursuant to which the SPAC Sponsor agreed to, among other things: (i) vote in favor of adoption of the Transaction Proposals (as defined in the Business Combination Agreement); (ii) vote against any Alternative Transaction (as defined in the Business Combination Agreement) and any merger agreement or merger other than the Business Combination Agreement and the Business Combination; and (iii) vote against any change in the business, management or board of directors of AACT (other than in connection with the Transaction Proposals or pursuant to the Business Combination Agreement or ancillary agreements).</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Contribution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16, 2025, the SPAC Sponsor agreed to make monthly deposits of $1.0 million directly to AACT’s trust account (the “Contributions”), up to an aggregate amount of $9.9 million. The Contributions represent $0.02 for each outstanding AACT Class A Ordinary Share, other than the Converted AACT Class A Ordinary Shares held by the SPAC Sponsor. The first Contribution was made on April 25, 2025, and additional Contributions were made on the 25th day of each month following April 25, 2025 (or if such day was not a business day, on the business day immediately preceding such day) until the Closing. As of the Closing, the SPAC Sponsor had made $4.9 million of Contributions. The Contributions did not bear any interest and were repaid upon the closing of the Business Combination.</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Overfunding Loans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25, 2023, concurrently with the closing of the IPO, the SPAC Sponsor extended to AACT a non-interest bearing loan of $4.5 million and an additional non-interest bearing loan of $500,000, for an aggregate outstanding principal amount of $5.0 million (the “Overfunding Loans”). The Overfunding Loans were extended to ensure that the initial amount in the AACT’s trust account was $10.10 per public share. The Overfunding Loans were repaid upon the closing of the Business Combination.</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Working Capital Loans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finance transaction costs in connection with a business combination, the SPAC Sponsor or an affiliate of the SPAC Sponsor provided AACT with Working Capital Loans (separate from the Overfunding Loans). The SPAC Sponsor provided an aggregate of $1.7 million in Working Capital Loans to AACT. The Working Capital Loans were repaid upon the closing of the Business Combination.</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Administrative Service Fee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474345"/>
                <wp:effectExtent l="0" t="0" r="0" b="0"/>
                <wp:wrapNone/>
                <wp:docPr id="132" name="Frame128"/>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before="0" w:after="24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20, 2023, AACT agreed to pay the SPAC Sponsor, or an affiliate of the SPAC Sponsor, a monthly fee of $16,667 for office space, utilities, secretarial support and administrative services. AACT incurred $50,000 during both the three months ended March 31, 2025 and 2024, and $200,004 and $139,447 during the years ended December 31, 2024 and 2023, respectively, in expenses in connection with such services. This arrangement terminated upon the closing of the Business Combination.</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Observer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Closing, we entered into the a board observer agreement (the “Observer Agreement”) with the SPAC Sponsor. Pursuant to the Observer Agreement, following the Closing, the SPAC Sponsor is entitled to appoint one non-voting observer representative to attend certain meetings of our Board and our Board committees until the commencement of the third annual meeting of our stockholders following the Closing, subject to certain exceptions.</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Letter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AACT, Legacy Kodiak, the SPAC Sponsor, and AAC II Co-Invest LP, a vehicle owned by certain Ares employees in which an officer and director of AACT was invested entered into a letter agreement whereby they (i) agreed that upon the Closing, our Board would waive the lockup restrictions with respect to shares of our Common Stock to be issued upon the conversion of the Second Lien Loans, other than those shares of our Common Stock to be issued to the SPAC Sponsor Affiliate Investor with respect to the initial Second Lien Loans provided by the SPAC Sponsor Affiliate Investor or to any of our directors, and (ii) provided that AAC II Co-Invest LP would have certain customary registration rights with respect our Common Stock to be received by such entity following conversion of the Second Lien Loans provided by such entity.</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Second Lien Loan and Security Agreement and Related Acknowledgement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22, 2025, an entity affiliated with Allyson Satin, a member of our Board, and at the time AACT’s Chief Operating Officer, funded $0.4 million of Second Lien Loans. In connection with the Series A Preferred Investment, Legacy Kodiak and the SPAC Sponsor entered into a certain acknowledgement and agreement dated September 15, 2025 pursuant to which Legacy Kodiak and the SPAC Sponsor determined that for purposes of the Second Lien Loan and Security Agreement, as of September 15, 2025, the conversion price of the Second Lien Loan for purposes of its conversion to shares of Common Stock in connection with the Closing was equal to $6.00.</w:t>
      </w:r>
    </w:p>
    <w:p>
      <w:pPr>
        <w:pStyle w:val="TextBody"/>
        <w:bidi w:val="0"/>
        <w:spacing w:lineRule="auto" w:line="276" w:before="120" w:after="283"/>
        <w:jc w:val="left"/>
        <w:rPr>
          <w:rFonts w:ascii="Times New Roman;serif" w:hAnsi="Times New Roman;serif"/>
          <w:b/>
          <w:color w:val="000000"/>
          <w:sz w:val="20"/>
        </w:rPr>
      </w:pPr>
      <w:r>
        <w:rPr>
          <w:rFonts w:ascii="Times New Roman;serif" w:hAnsi="Times New Roman;serif"/>
          <w:b/>
          <w:color w:val="000000"/>
          <w:sz w:val="20"/>
        </w:rPr>
        <w:t>Pre-Business Combination Related Party Transactions</w:t>
      </w:r>
    </w:p>
    <w:p>
      <w:pPr>
        <w:pStyle w:val="TextBody"/>
        <w:bidi w:val="0"/>
        <w:spacing w:lineRule="auto" w:line="268" w:before="120" w:after="283"/>
        <w:jc w:val="left"/>
        <w:rPr>
          <w:rFonts w:ascii="Times New Roman;serif" w:hAnsi="Times New Roman;serif"/>
          <w:b/>
          <w:i/>
          <w:color w:val="000000"/>
          <w:sz w:val="20"/>
        </w:rPr>
      </w:pPr>
      <w:r>
        <w:rPr>
          <w:rFonts w:ascii="Times New Roman;serif" w:hAnsi="Times New Roman;serif"/>
          <w:b/>
          <w:i/>
          <w:color w:val="000000"/>
          <w:sz w:val="20"/>
        </w:rPr>
        <w:t>Walmart Agreement</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On October 3, 2023, Legacy Kodiak entered into a Master Transportation Agreement with Wal-Mart Transportation, LLC (“Walmart”), as amended on May 28, 2024 and November 14, 2024 (the “Walmart Agreement”). Pursuant to the Walmart Agreement, Legacy Kodiak agreed to provide certain transportation services utilizing its Kodiak Driver-powered trucks to Walmart. For the year ended December 31, 2025, we received revenue in the amount of $169,000 pursuant to the Walmart Agreement. James Reed currently serves on our Board and served as the Vice President of Transportation of Walmart until May 2025. As a result, Mr. Reed may be deemed to have an indirect material interest in the Walmart Agreement.</w:t>
      </w:r>
    </w:p>
    <w:p>
      <w:pPr>
        <w:pStyle w:val="TextBody"/>
        <w:bidi w:val="0"/>
        <w:spacing w:lineRule="auto" w:line="268" w:before="120" w:after="283"/>
        <w:jc w:val="left"/>
        <w:rPr>
          <w:rFonts w:ascii="Times New Roman;serif" w:hAnsi="Times New Roman;serif"/>
          <w:b/>
          <w:i/>
          <w:color w:val="000000"/>
          <w:sz w:val="20"/>
        </w:rPr>
      </w:pPr>
      <w:r>
        <w:rPr>
          <w:rFonts w:ascii="Times New Roman;serif" w:hAnsi="Times New Roman;serif"/>
          <w:b/>
          <w:i/>
          <w:color w:val="000000"/>
          <w:sz w:val="20"/>
        </w:rPr>
        <w:t>Gerhard Eschelbeck Compensation</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Gerhard Eschelbeck, the father-in-law of Michael Wiesinger, has served as Legacy Kodiak’s Chief Security Officer since October 2022. Total compensation paid to Mr. Eschelbeck for the year ended December 31, 2025 consisted of base salary, bonus and other benefits totaling $120,000.00 and an option award granted under the 2018 Plan having an aggregate grant date fair value of $65,016, which award is subject to certain service-based vesting conditions.</w:t>
      </w:r>
    </w:p>
    <w:p>
      <w:pPr>
        <w:pStyle w:val="TextBody"/>
        <w:bidi w:val="0"/>
        <w:spacing w:lineRule="auto" w:line="268" w:before="120" w:after="283"/>
        <w:jc w:val="left"/>
        <w:rPr>
          <w:rFonts w:ascii="Times New Roman;serif" w:hAnsi="Times New Roman;serif"/>
          <w:b/>
          <w:i/>
          <w:color w:val="000000"/>
          <w:sz w:val="20"/>
        </w:rPr>
      </w:pPr>
      <w:r>
        <w:rPr>
          <w:rFonts w:ascii="Times New Roman;serif" w:hAnsi="Times New Roman;serif"/>
          <w:b/>
          <w:i/>
          <w:color w:val="000000"/>
          <w:sz w:val="20"/>
        </w:rPr>
        <w:t>SAFE Transactions</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At various times since January 1, 2025, Legacy Kodiak has entered into SAFEs, each of which contemplates a valuation cap of $500.0 million and a discount rate of 50%, with certain investors, including certain of Legacy Kodiak’s related parties (collectively, the “SAFE Transactions”).</w:t>
      </w:r>
    </w:p>
    <w:p>
      <w:pPr>
        <w:pStyle w:val="TextBody"/>
        <w:bidi w:val="0"/>
        <w:spacing w:lineRule="auto" w:line="26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a summary of the SAFE Transactions entered into with related parties since January 1, 2025: </w:t>
      </w:r>
    </w:p>
    <w:tbl>
      <w:tblPr>
        <w:tblW w:w="10205" w:type="dxa"/>
        <w:jc w:val="left"/>
        <w:tblInd w:w="0" w:type="dxa"/>
        <w:tblLayout w:type="fixed"/>
        <w:tblCellMar>
          <w:top w:w="28" w:type="dxa"/>
          <w:left w:w="28" w:type="dxa"/>
          <w:bottom w:w="28" w:type="dxa"/>
          <w:right w:w="28" w:type="dxa"/>
        </w:tblCellMar>
      </w:tblPr>
      <w:tblGrid>
        <w:gridCol w:w="948"/>
        <w:gridCol w:w="830"/>
        <w:gridCol w:w="799"/>
        <w:gridCol w:w="468"/>
        <w:gridCol w:w="468"/>
        <w:gridCol w:w="470"/>
        <w:gridCol w:w="525"/>
        <w:gridCol w:w="517"/>
        <w:gridCol w:w="519"/>
        <w:gridCol w:w="1218"/>
        <w:gridCol w:w="1175"/>
        <w:gridCol w:w="1180"/>
        <w:gridCol w:w="315"/>
        <w:gridCol w:w="315"/>
        <w:gridCol w:w="458"/>
      </w:tblGrid>
      <w:tr>
        <w:trPr/>
        <w:tc>
          <w:tcPr>
            <w:tcW w:w="94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2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Investor Name</w:t>
            </w:r>
          </w:p>
        </w:tc>
        <w:tc>
          <w:tcPr>
            <w:tcW w:w="14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Date of Transaction</w:t>
            </w:r>
          </w:p>
        </w:tc>
        <w:tc>
          <w:tcPr>
            <w:tcW w:w="156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Investment Amount ($)</w:t>
            </w:r>
          </w:p>
        </w:tc>
        <w:tc>
          <w:tcPr>
            <w:tcW w:w="357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Number of Shares of Common Stock Received at the Closing</w:t>
            </w:r>
          </w:p>
        </w:tc>
        <w:tc>
          <w:tcPr>
            <w:tcW w:w="108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Related Party</w:t>
            </w:r>
          </w:p>
        </w:tc>
      </w:tr>
      <w:tr>
        <w:trPr/>
        <w:tc>
          <w:tcPr>
            <w:tcW w:w="25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Aliya Growth Fund LLC-Series RR</w:t>
            </w:r>
          </w:p>
        </w:tc>
        <w:tc>
          <w:tcPr>
            <w:tcW w:w="1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02/24/2025</w:t>
            </w:r>
          </w:p>
        </w:tc>
        <w:tc>
          <w:tcPr>
            <w:tcW w:w="15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2,500,000</w:t>
            </w:r>
          </w:p>
        </w:tc>
        <w:tc>
          <w:tcPr>
            <w:tcW w:w="35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1,091,520</w:t>
            </w:r>
          </w:p>
        </w:tc>
        <w:tc>
          <w:tcPr>
            <w:tcW w:w="10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0"/>
              </w:rPr>
              <w:t>Ross Kestin</w:t>
            </w:r>
            <w:r>
              <w:rPr>
                <w:rFonts w:ascii="Times New Roman;serif" w:hAnsi="Times New Roman;serif"/>
                <w:b w:val="false"/>
                <w:color w:val="000000"/>
                <w:sz w:val="10"/>
              </w:rPr>
              <w:t>(1)</w:t>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Battery Ventures XII, L.P.</w:t>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02/24/2025</w:t>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1,471,500</w:t>
            </w:r>
          </w:p>
        </w:tc>
        <w:tc>
          <w:tcPr>
            <w:tcW w:w="357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642,469</w:t>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0"/>
              </w:rPr>
              <w:t>Scott Tobin</w:t>
            </w:r>
            <w:r>
              <w:rPr>
                <w:rFonts w:ascii="Times New Roman;serif" w:hAnsi="Times New Roman;serif"/>
                <w:b w:val="false"/>
                <w:color w:val="000000"/>
                <w:sz w:val="10"/>
              </w:rPr>
              <w:t>(2)</w:t>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Battery Investment Partners XII, LLC</w:t>
            </w:r>
          </w:p>
        </w:tc>
        <w:tc>
          <w:tcPr>
            <w:tcW w:w="140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02/24/2025</w:t>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28,500</w:t>
            </w:r>
          </w:p>
        </w:tc>
        <w:tc>
          <w:tcPr>
            <w:tcW w:w="357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12,443</w:t>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0"/>
              </w:rPr>
              <w:t>Scott Tobin</w:t>
            </w:r>
            <w:r>
              <w:rPr>
                <w:rFonts w:ascii="Times New Roman;serif" w:hAnsi="Times New Roman;serif"/>
                <w:b w:val="false"/>
                <w:color w:val="000000"/>
                <w:sz w:val="10"/>
              </w:rPr>
              <w:t>(2)</w:t>
            </w:r>
          </w:p>
        </w:tc>
      </w:tr>
      <w:tr>
        <w:trPr/>
        <w:tc>
          <w:tcPr>
            <w:tcW w:w="10205" w:type="dxa"/>
            <w:gridSpan w:val="15"/>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474345"/>
                <wp:effectExtent l="0" t="0" r="0" b="0"/>
                <wp:wrapNone/>
                <wp:docPr id="133" name="Frame129"/>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before="0" w:after="240"/>
        <w:jc w:val="center"/>
        <w:rPr/>
      </w:pPr>
      <w:r>
        <w:rPr/>
      </w:r>
    </w:p>
    <w:tbl>
      <w:tblPr>
        <w:tblW w:w="9890" w:type="dxa"/>
        <w:jc w:val="left"/>
        <w:tblInd w:w="0" w:type="dxa"/>
        <w:tblLayout w:type="fixed"/>
        <w:tblCellMar>
          <w:top w:w="28" w:type="dxa"/>
          <w:left w:w="28" w:type="dxa"/>
          <w:bottom w:w="28" w:type="dxa"/>
          <w:right w:w="28" w:type="dxa"/>
        </w:tblCellMar>
      </w:tblPr>
      <w:tblGrid>
        <w:gridCol w:w="723"/>
        <w:gridCol w:w="636"/>
        <w:gridCol w:w="636"/>
        <w:gridCol w:w="636"/>
        <w:gridCol w:w="636"/>
        <w:gridCol w:w="636"/>
        <w:gridCol w:w="636"/>
        <w:gridCol w:w="636"/>
        <w:gridCol w:w="636"/>
        <w:gridCol w:w="636"/>
        <w:gridCol w:w="636"/>
        <w:gridCol w:w="636"/>
        <w:gridCol w:w="636"/>
        <w:gridCol w:w="636"/>
        <w:gridCol w:w="899"/>
      </w:tblGrid>
      <w:tr>
        <w:trPr/>
        <w:tc>
          <w:tcPr>
            <w:tcW w:w="72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9890" w:type="dxa"/>
            <w:gridSpan w:val="15"/>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Ross Kestin is the Founding Partner and CEO of Aliya and is a former director of the Legacy Kodiak Board.</w:t>
            </w:r>
          </w:p>
        </w:tc>
      </w:tr>
      <w:tr>
        <w:trPr/>
        <w:tc>
          <w:tcPr>
            <w:tcW w:w="9890" w:type="dxa"/>
            <w:gridSpan w:val="15"/>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Scott Tobin is Senior Partner at Battery Ventures, served as a director on the Legacy Kodiak Board, and serves as a director on our Board.</w:t>
            </w:r>
          </w:p>
        </w:tc>
      </w:tr>
    </w:tbl>
    <w:p>
      <w:pPr>
        <w:pStyle w:val="TextBody"/>
        <w:bidi w:val="0"/>
        <w:spacing w:lineRule="auto" w:line="26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terms detailed in the table above reflect the terms for each of the SAFEs after they were amended and restated on February 24, 2025.</w:t>
      </w:r>
    </w:p>
    <w:p>
      <w:pPr>
        <w:pStyle w:val="TextBody"/>
        <w:bidi w:val="0"/>
        <w:spacing w:lineRule="auto" w:line="268" w:before="120" w:after="283"/>
        <w:jc w:val="left"/>
        <w:rPr>
          <w:rFonts w:ascii="Times New Roman;serif" w:hAnsi="Times New Roman;serif"/>
          <w:b/>
          <w:i/>
          <w:color w:val="000000"/>
          <w:sz w:val="20"/>
        </w:rPr>
      </w:pPr>
      <w:r>
        <w:rPr>
          <w:rFonts w:ascii="Times New Roman;serif" w:hAnsi="Times New Roman;serif"/>
          <w:b/>
          <w:i/>
          <w:color w:val="000000"/>
          <w:sz w:val="20"/>
        </w:rPr>
        <w:t>Second Lien Loan and Security Agreement</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On April 14, 2025, Legacy Kodiak entered into the Second Lien Loan and Security Agreement, pursuant to which Legacy Kodiak has received funding from certain lenders, including certain of Legacy Kodiak’s related parties, and issued Second Lien Loans to such parties convertible into Common Stock. In connection with the Closing, subject to certain exceptions, the Second Lien Loans automatically converted into Legacy Kodiak Common Stock and subsequently converted into shares of our Common Stock.</w:t>
      </w:r>
    </w:p>
    <w:p>
      <w:pPr>
        <w:pStyle w:val="TextBody"/>
        <w:bidi w:val="0"/>
        <w:spacing w:lineRule="auto" w:line="268" w:before="12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a summary of the Second Lien Loan transactions entered into with related parties: </w:t>
      </w:r>
    </w:p>
    <w:tbl>
      <w:tblPr>
        <w:tblW w:w="10205" w:type="dxa"/>
        <w:jc w:val="left"/>
        <w:tblInd w:w="0" w:type="dxa"/>
        <w:tblLayout w:type="fixed"/>
        <w:tblCellMar>
          <w:top w:w="28" w:type="dxa"/>
          <w:left w:w="28" w:type="dxa"/>
          <w:bottom w:w="28" w:type="dxa"/>
          <w:right w:w="28" w:type="dxa"/>
        </w:tblCellMar>
      </w:tblPr>
      <w:tblGrid>
        <w:gridCol w:w="710"/>
        <w:gridCol w:w="625"/>
        <w:gridCol w:w="596"/>
        <w:gridCol w:w="446"/>
        <w:gridCol w:w="446"/>
        <w:gridCol w:w="448"/>
        <w:gridCol w:w="675"/>
        <w:gridCol w:w="547"/>
        <w:gridCol w:w="549"/>
        <w:gridCol w:w="843"/>
        <w:gridCol w:w="835"/>
        <w:gridCol w:w="838"/>
        <w:gridCol w:w="353"/>
        <w:gridCol w:w="305"/>
        <w:gridCol w:w="307"/>
        <w:gridCol w:w="488"/>
        <w:gridCol w:w="488"/>
        <w:gridCol w:w="706"/>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193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Lender Name</w:t>
            </w:r>
          </w:p>
        </w:tc>
        <w:tc>
          <w:tcPr>
            <w:tcW w:w="1340"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6"/>
              </w:rPr>
              <w:t>Date of Transaction</w:t>
            </w:r>
            <w:r>
              <w:rPr>
                <w:rFonts w:ascii="Times New Roman;serif" w:hAnsi="Times New Roman;serif"/>
                <w:b/>
                <w:color w:val="000000"/>
                <w:sz w:val="12"/>
              </w:rPr>
              <w:t>(1)</w:t>
            </w:r>
          </w:p>
        </w:tc>
        <w:tc>
          <w:tcPr>
            <w:tcW w:w="177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Delayed Draw Second Lien Loan ($)</w:t>
            </w:r>
          </w:p>
        </w:tc>
        <w:tc>
          <w:tcPr>
            <w:tcW w:w="251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Number of Shares of Common Stock Received at the Closing</w:t>
            </w:r>
          </w:p>
        </w:tc>
        <w:tc>
          <w:tcPr>
            <w:tcW w:w="96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Related Party</w:t>
            </w:r>
          </w:p>
        </w:tc>
        <w:tc>
          <w:tcPr>
            <w:tcW w:w="168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Description of the Relationship</w:t>
            </w:r>
          </w:p>
        </w:tc>
      </w:tr>
      <w:tr>
        <w:trPr/>
        <w:tc>
          <w:tcPr>
            <w:tcW w:w="1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Aliya Growth Fund LLC-Series AG</w:t>
            </w:r>
          </w:p>
        </w:tc>
        <w:tc>
          <w:tcPr>
            <w:tcW w:w="1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04/14/2025</w:t>
            </w:r>
          </w:p>
        </w:tc>
        <w:tc>
          <w:tcPr>
            <w:tcW w:w="1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5,000,000</w:t>
            </w:r>
          </w:p>
        </w:tc>
        <w:tc>
          <w:tcPr>
            <w:tcW w:w="25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865,485</w:t>
            </w:r>
          </w:p>
        </w:tc>
        <w:tc>
          <w:tcPr>
            <w:tcW w:w="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Ross Kestin</w:t>
            </w:r>
          </w:p>
        </w:tc>
        <w:tc>
          <w:tcPr>
            <w:tcW w:w="16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5"/>
              </w:rPr>
            </w:pPr>
            <w:r>
              <w:rPr>
                <w:rFonts w:ascii="Times New Roman;serif" w:hAnsi="Times New Roman;serif"/>
                <w:b w:val="false"/>
                <w:color w:val="000000"/>
                <w:sz w:val="15"/>
              </w:rPr>
              <w:t>(2)</w:t>
            </w:r>
          </w:p>
        </w:tc>
      </w:tr>
      <w:tr>
        <w:trPr/>
        <w:tc>
          <w:tcPr>
            <w:tcW w:w="193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Satin Family Revocable Trust</w:t>
            </w:r>
          </w:p>
        </w:tc>
        <w:tc>
          <w:tcPr>
            <w:tcW w:w="1340"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8/22/2025</w:t>
            </w:r>
          </w:p>
        </w:tc>
        <w:tc>
          <w:tcPr>
            <w:tcW w:w="1771"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350,000</w:t>
            </w:r>
          </w:p>
        </w:tc>
        <w:tc>
          <w:tcPr>
            <w:tcW w:w="2516"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59,242</w:t>
            </w:r>
          </w:p>
        </w:tc>
        <w:tc>
          <w:tcPr>
            <w:tcW w:w="965"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Allyson Satin</w:t>
            </w:r>
          </w:p>
        </w:tc>
        <w:tc>
          <w:tcPr>
            <w:tcW w:w="16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5"/>
              </w:rPr>
            </w:pPr>
            <w:r>
              <w:rPr>
                <w:rFonts w:ascii="Times New Roman;serif" w:hAnsi="Times New Roman;serif"/>
                <w:b w:val="false"/>
                <w:color w:val="000000"/>
                <w:sz w:val="15"/>
              </w:rPr>
              <w:t>(3)</w:t>
            </w:r>
          </w:p>
        </w:tc>
      </w:tr>
      <w:tr>
        <w:trPr/>
        <w:tc>
          <w:tcPr>
            <w:tcW w:w="10205" w:type="dxa"/>
            <w:gridSpan w:val="18"/>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w:t>
            </w:r>
          </w:p>
        </w:tc>
      </w:tr>
      <w:tr>
        <w:trPr/>
        <w:tc>
          <w:tcPr>
            <w:tcW w:w="10205" w:type="dxa"/>
            <w:gridSpan w:val="18"/>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(1) The delayed draw Second Liens Loans were fully funded over time.</w:t>
            </w:r>
          </w:p>
        </w:tc>
      </w:tr>
      <w:tr>
        <w:trPr/>
        <w:tc>
          <w:tcPr>
            <w:tcW w:w="10205" w:type="dxa"/>
            <w:gridSpan w:val="18"/>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(2) Ross Kestin is the Founding Partner and CEO of Aliya and is a former director of the Legacy Kodiak Board.</w:t>
            </w:r>
          </w:p>
        </w:tc>
      </w:tr>
      <w:tr>
        <w:trPr/>
        <w:tc>
          <w:tcPr>
            <w:tcW w:w="10205" w:type="dxa"/>
            <w:gridSpan w:val="18"/>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(3) Allyson Satin was the Chief Operating Officer of AACT and is a member of our Board.</w:t>
            </w:r>
          </w:p>
        </w:tc>
      </w:tr>
    </w:tbl>
    <w:p>
      <w:pPr>
        <w:pStyle w:val="TextBody"/>
        <w:bidi w:val="0"/>
        <w:spacing w:lineRule="auto" w:line="268" w:before="120" w:after="283"/>
        <w:ind w:left="0" w:right="0" w:firstLine="490"/>
        <w:jc w:val="left"/>
        <w:rPr/>
      </w:pPr>
      <w:r>
        <w:rPr>
          <w:rFonts w:ascii="Times New Roman;serif" w:hAnsi="Times New Roman;serif"/>
          <w:b w:val="false"/>
          <w:color w:val="000000"/>
          <w:sz w:val="20"/>
        </w:rPr>
        <w:t>For a description of the material terms of the Second Lien Loan and Security Agreement, see the section titled “</w:t>
      </w:r>
      <w:r>
        <w:rPr>
          <w:rFonts w:ascii="Times New Roman;serif" w:hAnsi="Times New Roman;serif"/>
          <w:b w:val="false"/>
          <w:i/>
          <w:color w:val="000000"/>
          <w:sz w:val="20"/>
        </w:rPr>
        <w:t>Management’s Discussion and Analysis of Financial Condition and Results of Operations-Contractual Obligations and Other Commitments</w:t>
      </w:r>
      <w:r>
        <w:rPr>
          <w:rFonts w:ascii="Times New Roman;serif" w:hAnsi="Times New Roman;serif"/>
          <w:b w:val="false"/>
          <w:color w:val="000000"/>
          <w:sz w:val="20"/>
        </w:rPr>
        <w:t>.”</w:t>
      </w:r>
    </w:p>
    <w:p>
      <w:pPr>
        <w:pStyle w:val="TextBody"/>
        <w:bidi w:val="0"/>
        <w:spacing w:lineRule="auto" w:line="268" w:before="120" w:after="283"/>
        <w:jc w:val="left"/>
        <w:rPr>
          <w:rFonts w:ascii="Times New Roman;serif" w:hAnsi="Times New Roman;serif"/>
          <w:b/>
          <w:i/>
          <w:color w:val="000000"/>
          <w:sz w:val="20"/>
        </w:rPr>
      </w:pPr>
      <w:r>
        <w:rPr>
          <w:rFonts w:ascii="Times New Roman;serif" w:hAnsi="Times New Roman;serif"/>
          <w:b/>
          <w:i/>
          <w:color w:val="000000"/>
          <w:sz w:val="20"/>
        </w:rPr>
        <w:t>Company Support Agreement</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entrance into of the Business Combination Agreement, certain Legacy Kodiak stockholders and Don Burnette entered into a Company Support Agreement with Legacy Kodiak and AACT. Among such stockholders are: (i) Aliya, which is affiliated with Ross Kestin, a former director of the Legacy Kodiak Board; (ii) SIP, which held more than 5% of the outstanding capital stock of Legacy Kodiak and holds more than 5% of our outstanding capital stock upon the Closing; (iii) Battery Ventures, which is affiliated with Scott Tobin, a director on the Legacy Kodiak Board and our Board; and (iv) Paz Eshel, who held more than 5% of the outstanding capital stock of Legacy Kodiak and holds more than 5% of our outstanding capital stock upon the Closing. </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PIPE Subscription Agreements and Series A Preferred Investment</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Concurrently with the execution of the Business Combination Agreement, in connection with a financing effort related to the Business Combination, AACT entered into Subscription Agreements with the PIPE Investors, including entities affiliated with Soros (Quantum Partners LP and Palindrome Master Fund LP) and Alyeska Master Fund, L.P. (“Alyeska”), who hold more than 5% of our Common Stock and Preferred Stock, respectively. Pursuant to the Subscription Agreements, the entities affiliated with Soros agreed to purchase shares of Common Stock at a price per share equal to the Redemption Price for an aggregate commitment amount of $10.0 million and Alyeska agreed to purchase shares of Common Stock at a price per share equal to 90% of the Redemption Price for an aggregate commitment amount of $50.0 million. In addition, on September 15, 2025, in connection with a financing effort related to the Business Combination, AACT entered into a Preferred Subscription Agreement with Alyeska amending and restating its Subscription Agreement, pursuant to which Alyeska agreed, among other things, to purchase, in lieu of its initial $50 million PIPE commitment, $125 million worth of shares of Series A Preferred Stock and PIPE Warrants. In connection with the Closing, the $10.0 million aggregate subscription amount of the entities affiliated with Soros was deemed satisfied and offset by their holdings of AACT Class A Ordinary Shares that were not redeemed from AACT’s trust account. At the Closing, we issued an aggregate of 122,549 shares of Series A Preferred Stock and PIPE Warrants to purchase an aggregate of 12,254,900 shares of Common Stock to Alyeska.</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Indemnification Agreements</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consummation of the Business Combination, we entered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to the fullest extent permitted by law.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474345"/>
                <wp:effectExtent l="0" t="0" r="0" b="0"/>
                <wp:wrapNone/>
                <wp:docPr id="134" name="Frame130"/>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before="0" w:after="240"/>
        <w:jc w:val="center"/>
        <w:rPr/>
      </w:pPr>
      <w:r>
        <w:rPr/>
      </w:r>
    </w:p>
    <w:p>
      <w:pPr>
        <w:pStyle w:val="TextBody"/>
        <w:bidi w:val="0"/>
        <w:spacing w:lineRule="auto" w:line="268" w:before="120" w:after="283"/>
        <w:jc w:val="left"/>
        <w:rPr/>
      </w:pPr>
      <w:r>
        <w:rPr>
          <w:rFonts w:ascii="Times New Roman;serif" w:hAnsi="Times New Roman;serif"/>
          <w:b w:val="false"/>
          <w:color w:val="000000"/>
          <w:sz w:val="20"/>
        </w:rPr>
        <w:t>indemnification agreements also require us to advance all expenses incurred by the directors and executive officers in investigating or defending any such action, suit, or proceeding to the fullest extent permitted by law. Our Bylaws also empower us to purchase insurance on behalf of any person whom we are required or permitted to indemnify. For additional information related to Kodiak’s indemnification obligations in respect of its directors and officers, see the section titled “</w:t>
      </w:r>
      <w:r>
        <w:rPr>
          <w:rFonts w:ascii="Times New Roman;serif" w:hAnsi="Times New Roman;serif"/>
          <w:b w:val="false"/>
          <w:i/>
          <w:color w:val="000000"/>
          <w:sz w:val="20"/>
        </w:rPr>
        <w:t>Directors, Executive Officers and Corporate Governance—Limitation on Liability and Indemnification of Directors and Officers.</w:t>
      </w:r>
      <w:r>
        <w:rPr>
          <w:color w:val="000000"/>
        </w:rPr>
        <w:t xml:space="preserve">” </w:t>
      </w:r>
      <w:r>
        <w:rPr>
          <w:rFonts w:ascii="Times New Roman;serif" w:hAnsi="Times New Roman;serif"/>
          <w:b w:val="false"/>
          <w:color w:val="000000"/>
          <w:sz w:val="20"/>
        </w:rPr>
        <w:t>We believe that the indemnification provisions in our Certificate of Incorporation and Bylaws, liability insurance and any indemnification agreements that are entered into are necessary to attract and retain talented and experienced directors and officers.</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Policies and Procedures for Related Person Transactions</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have adopted a formal, written policy regarding related person transactions, which provides that a related person transaction is a transaction, arrangement or relationship or any series of similar transactions, arrangements or relationships, in which we are a participant and in which a related person has, had or will have a direct or indirect material interest and in which the aggregate amount involved exceeds $120,000. This policy also provides that a related person means any of our executive officers and directors (including director nominees), in each case at any time since the beginning of our last fiscal year, or holders of more than 5% of any class of our voting securities and any member of the immediate family of, or person sharing the household with, any of the foregoing persons. Our Audit Committee has the primary responsibility for reviewing and approving or disapproving related person transactions. In addition to this policy, our Audit Committee charter provides that our Audit Committee shall review and approve or disapprove any related person transactions. </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All related person transactions described in this section occurred prior to adoption of the formal, written policy described above, and therefore these transactions were not subject to the approval and review procedures set forth in the policy.</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Director Independence</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Board has determined that each of the directors on our Board other than Mr. Burnette and Mr. Reed qualifies as an independent director, as defined under the Nasdaq listing rules, and our Board consists of a majority of “independent directors,” as defined under the rules of the SEC and Nasdaq relating to director independence requirements. In addition, Kodiak is subject to the rules of the SEC and Nasdaq relating to the membership, qualifications and operations of the Compensation Committee and the Audit Committee, as discussed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Fees Paid to Independent Registered Public Accounting Firm</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the fees billed by Deloitte &amp; Touche LLP (“Deloitte”) for the fiscal years ended December 31, 2025 and December 31, 2024, inclusive of out-of-pocket expenses.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425"/>
        <w:gridCol w:w="1252"/>
        <w:gridCol w:w="1268"/>
        <w:gridCol w:w="530"/>
        <w:gridCol w:w="2456"/>
        <w:gridCol w:w="274"/>
        <w:gridCol w:w="530"/>
        <w:gridCol w:w="2079"/>
        <w:gridCol w:w="391"/>
      </w:tblGrid>
      <w:tr>
        <w:trPr/>
        <w:tc>
          <w:tcPr>
            <w:tcW w:w="142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5"/>
              </w:rPr>
            </w:pPr>
            <w:r>
              <w:rPr>
                <w:rFonts w:ascii="Times New Roman;serif" w:hAnsi="Times New Roman;serif"/>
                <w:b/>
                <w:color w:val="000000"/>
                <w:sz w:val="15"/>
              </w:rPr>
              <w:t>2025</w:t>
            </w:r>
          </w:p>
        </w:tc>
        <w:tc>
          <w:tcPr>
            <w:tcW w:w="300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Audit Fees</w:t>
            </w:r>
            <w:r>
              <w:rPr>
                <w:rFonts w:ascii="Times New Roman;serif" w:hAnsi="Times New Roman;serif"/>
                <w:b w:val="false"/>
                <w:color w:val="000000"/>
                <w:sz w:val="15"/>
              </w:rPr>
              <w:t>(1)</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2,378,563 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Audit-Related Fees</w:t>
            </w:r>
          </w:p>
        </w:tc>
        <w:tc>
          <w:tcPr>
            <w:tcW w:w="29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Tax Fees</w:t>
            </w:r>
            <w:r>
              <w:rPr>
                <w:rFonts w:ascii="Times New Roman;serif" w:hAnsi="Times New Roman;serif"/>
                <w:b w:val="false"/>
                <w:color w:val="000000"/>
                <w:sz w:val="15"/>
              </w:rPr>
              <w:t>(2)</w:t>
            </w:r>
          </w:p>
        </w:tc>
        <w:tc>
          <w:tcPr>
            <w:tcW w:w="298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138,513 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135,914 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Fees</w:t>
            </w:r>
          </w:p>
        </w:tc>
        <w:tc>
          <w:tcPr>
            <w:tcW w:w="29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 Fees</w:t>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2,517,076 </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135,914 </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(1) Audit Fees consist of fees for professional services rendered in connection with the audit of our annual consolidated financial statements, the review of our quarterly condensed consolidated financial statements, and audit services that are normally provided by independent registered public accounting firms in connection with statutory and regulatory filings.</w:t>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(2) Tax fees consist of fees for professional services for tax compliance, tax advice and tax planning.</w:t>
            </w:r>
          </w:p>
        </w:tc>
      </w:tr>
    </w:tbl>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Fees Paid to Prior Independent Registered Public Accounting Firm</w:t>
      </w:r>
    </w:p>
    <w:p>
      <w:pPr>
        <w:pStyle w:val="TextBody"/>
        <w:bidi w:val="0"/>
        <w:spacing w:lineRule="auto" w:line="268" w:before="120" w:after="283"/>
        <w:ind w:left="0" w:right="0" w:firstLine="720"/>
        <w:jc w:val="left"/>
        <w:rPr/>
      </w:pPr>
      <w:r>
        <w:rPr>
          <w:rFonts w:ascii="Times New Roman;serif" w:hAnsi="Times New Roman;serif"/>
          <w:b w:val="false"/>
          <w:color w:val="212529"/>
          <w:sz w:val="20"/>
        </w:rPr>
        <w:t xml:space="preserve">WithumSmith+Brown, PC (“Withum”) served as the independent registered public accounting firm for AACT, the legal predecessor of the Company, for the period from March 15, 2021 (AACT’s inception) through the year ended December 31, 2024, and the subsequent interim period until September 24, 2025. On September 24, 2025, our Audit Committee approved the change in the Company’s independent registered public accounting firm, effective September 24, 2025, to </w:t>
      </w:r>
      <w:r>
        <w:rPr>
          <w:rFonts w:ascii="Times New Roman;serif" w:hAnsi="Times New Roman;serif"/>
          <w:b w:val="false"/>
          <w:color w:val="000000"/>
          <w:sz w:val="20"/>
          <w:shd w:fill="FFFFFF" w:val="clear"/>
        </w:rPr>
        <w:t>Deloitte</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The following is a summary of fees paid to Withum for services rendered </w:t>
      </w:r>
      <w:r>
        <w:rPr>
          <w:rFonts w:ascii="Times New Roman;serif" w:hAnsi="Times New Roman;serif"/>
          <w:b w:val="false"/>
          <w:color w:val="000000"/>
          <w:sz w:val="20"/>
        </w:rPr>
        <w:t>for the fiscal years ended December 31, 2025 and 2024.</w:t>
      </w:r>
    </w:p>
    <w:p>
      <w:pPr>
        <w:pStyle w:val="TextBody"/>
        <w:bidi w:val="0"/>
        <w:spacing w:lineRule="auto" w:line="268" w:before="120" w:after="283"/>
        <w:ind w:left="0" w:right="0" w:firstLine="720"/>
        <w:jc w:val="both"/>
        <w:rPr>
          <w:rFonts w:ascii="Times New Roman;serif" w:hAnsi="Times New Roman;serif"/>
          <w:b/>
          <w:color w:val="000000"/>
          <w:sz w:val="20"/>
        </w:rPr>
      </w:pPr>
      <w:r>
        <w:rPr>
          <w:rFonts w:ascii="Times New Roman;serif" w:hAnsi="Times New Roman;serif"/>
          <w:b/>
          <w:color w:val="000000"/>
          <w:sz w:val="20"/>
        </w:rPr>
        <w:t>Audit Fees</w:t>
      </w:r>
    </w:p>
    <w:p>
      <w:pPr>
        <w:pStyle w:val="TextBody"/>
        <w:bidi w:val="0"/>
        <w:spacing w:lineRule="auto" w:line="26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Audit fees consist of fees billed for professional services rendered for the audit of our year-end financial statements and services that are normally provided by Withum in connection with regulatory filings. The aggregate fees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474345"/>
                <wp:effectExtent l="0" t="0" r="0" b="0"/>
                <wp:wrapNone/>
                <wp:docPr id="135" name="Frame131"/>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before="0" w:after="240"/>
        <w:jc w:val="center"/>
        <w:rPr/>
      </w:pPr>
      <w:r>
        <w:rPr/>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billed by Withum for professional services rendered for the audit of our annual financial statements, review of the financial information included in our Forms 10-Q for the respective periods and other required filings with the SEC for the years ended December 31, 2025 and 2024 totaled $194,915 and $104,520, respectively. The above amounts include interim procedures and audit fees, as well as attendance at audit committee meetings. </w:t>
      </w:r>
    </w:p>
    <w:p>
      <w:pPr>
        <w:pStyle w:val="TextBody"/>
        <w:bidi w:val="0"/>
        <w:spacing w:lineRule="auto" w:line="268" w:before="120" w:after="283"/>
        <w:ind w:left="0" w:right="0" w:firstLine="720"/>
        <w:jc w:val="left"/>
        <w:rPr>
          <w:rFonts w:ascii="Times New Roman;serif" w:hAnsi="Times New Roman;serif"/>
          <w:b/>
          <w:color w:val="000000"/>
          <w:sz w:val="20"/>
        </w:rPr>
      </w:pPr>
      <w:r>
        <w:rPr>
          <w:rFonts w:ascii="Times New Roman;serif" w:hAnsi="Times New Roman;serif"/>
          <w:b/>
          <w:color w:val="000000"/>
          <w:sz w:val="20"/>
        </w:rPr>
        <w:t>Audit-Related Fees</w:t>
      </w:r>
    </w:p>
    <w:p>
      <w:pPr>
        <w:pStyle w:val="TextBody"/>
        <w:bidi w:val="0"/>
        <w:spacing w:lineRule="auto" w:line="26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Audit-related services consist of fees billed for assurance and related services that are reasonably related to performance of the audit or review of our financial statements and are not reported under “Audit Fees.” These services include attest services that are not required by statute or regulation and consultations concerning financial accounting and reporting standards. We did not pay Withum for audit related fees for the years ended December 31, 2025 and 2024. </w:t>
      </w:r>
    </w:p>
    <w:p>
      <w:pPr>
        <w:pStyle w:val="TextBody"/>
        <w:bidi w:val="0"/>
        <w:spacing w:lineRule="auto" w:line="268" w:before="120" w:after="283"/>
        <w:ind w:left="0" w:right="0" w:firstLine="720"/>
        <w:jc w:val="left"/>
        <w:rPr>
          <w:rFonts w:ascii="Times New Roman;serif" w:hAnsi="Times New Roman;serif"/>
          <w:b/>
          <w:color w:val="000000"/>
          <w:sz w:val="20"/>
        </w:rPr>
      </w:pPr>
      <w:r>
        <w:rPr>
          <w:rFonts w:ascii="Times New Roman;serif" w:hAnsi="Times New Roman;serif"/>
          <w:b/>
          <w:color w:val="000000"/>
          <w:sz w:val="20"/>
        </w:rPr>
        <w:t>Tax Fees</w:t>
      </w:r>
    </w:p>
    <w:p>
      <w:pPr>
        <w:pStyle w:val="TextBody"/>
        <w:bidi w:val="0"/>
        <w:spacing w:lineRule="auto" w:line="26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did not pay Withum for tax fees for the years ended December 31, 2025 and 2024. </w:t>
      </w:r>
    </w:p>
    <w:p>
      <w:pPr>
        <w:pStyle w:val="TextBody"/>
        <w:bidi w:val="0"/>
        <w:spacing w:lineRule="auto" w:line="268" w:before="120" w:after="283"/>
        <w:ind w:left="0" w:right="0" w:firstLine="720"/>
        <w:jc w:val="left"/>
        <w:rPr>
          <w:rFonts w:ascii="Times New Roman;serif" w:hAnsi="Times New Roman;serif"/>
          <w:b/>
          <w:color w:val="000000"/>
          <w:sz w:val="20"/>
        </w:rPr>
      </w:pPr>
      <w:r>
        <w:rPr>
          <w:rFonts w:ascii="Times New Roman;serif" w:hAnsi="Times New Roman;serif"/>
          <w:b/>
          <w:color w:val="000000"/>
          <w:sz w:val="20"/>
        </w:rPr>
        <w:t>All Other Fees</w:t>
      </w:r>
    </w:p>
    <w:p>
      <w:pPr>
        <w:pStyle w:val="TextBody"/>
        <w:bidi w:val="0"/>
        <w:spacing w:lineRule="auto" w:line="26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did not pay Withum for other services for the years ended December 31, 2025 and 2024.</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Audit Committee Policy on Pre-Approval of Audit and Permissible Non-Audit Services of Independent Registered Public Accounting Firm</w:t>
      </w:r>
    </w:p>
    <w:p>
      <w:pPr>
        <w:pStyle w:val="TextBody"/>
        <w:bidi w:val="0"/>
        <w:spacing w:lineRule="auto" w:line="26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Consistent with requirements of the SEC and the PCAOB regarding auditor independence, our audit committee is responsible for the appointment, compensation and oversight of the work of our independent registered public accounting firm. In recognition of this responsibility, our audit committee has established a policy for the pre-approval of all audit and permissible non-audit services provided by the independent registered public accounting firm. These services may include audit services, audit-related services, tax services and other services.</w:t>
      </w:r>
    </w:p>
    <w:p>
      <w:pPr>
        <w:pStyle w:val="TextBody"/>
        <w:bidi w:val="0"/>
        <w:spacing w:lineRule="auto" w:line="26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audit committee’s pre-approval policy provides for the pre-approval of audit, audit-related and tax services specifically described by the audit committee on an annual basis, and unless a type of service is pre-approved under the policy, it will require separate pre-approval by the audit committee if it is to be provided by the independent registered public accounting firm. The policy authorizes the audit committee to delegate to one or more of its members pre-approval authority with respect to permitted services. Following the adoption of our pre-approval policy in September 2025, all services provided by Deloitte for our fiscal year ended December 31, 2025, which includes all fees for audit services, were pre-approved by our audit committee in accordance with the policy. All services provided by Deloitte for our fiscal year ended December 31, 2025 were approved by our Board.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36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Documents filed as part of this report are as follows:</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 Financial Statements: Refer to the “Index to Consolidated Financial Statements” included under Part II, Item 8 of this Form 10-K.</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 Financial Statement Schedules: All financial statement schedules have been omitted, since the required information is not applicable or is not present in amounts sufficient to require submission of the schedule, or because the information required is included in the consolidated financial statements and accompanying notes included under Part II, Item 8 of this Form 10-K.</w:t>
      </w:r>
    </w:p>
    <w:p>
      <w:pPr>
        <w:pStyle w:val="TextBody"/>
        <w:bidi w:val="0"/>
        <w:spacing w:lineRule="auto" w:line="288" w:before="0" w:after="24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(3) Exhibits: The documents listed below are incorporated by reference or are filed with this report, in each case as indicated therein.</w:t>
      </w:r>
    </w:p>
    <w:tbl>
      <w:tblPr>
        <w:tblW w:w="10205" w:type="dxa"/>
        <w:jc w:val="left"/>
        <w:tblInd w:w="0" w:type="dxa"/>
        <w:tblLayout w:type="fixed"/>
        <w:tblCellMar>
          <w:top w:w="28" w:type="dxa"/>
          <w:left w:w="28" w:type="dxa"/>
          <w:bottom w:w="28" w:type="dxa"/>
          <w:right w:w="28" w:type="dxa"/>
        </w:tblCellMar>
      </w:tblPr>
      <w:tblGrid>
        <w:gridCol w:w="298"/>
        <w:gridCol w:w="263"/>
        <w:gridCol w:w="264"/>
        <w:gridCol w:w="109"/>
        <w:gridCol w:w="109"/>
        <w:gridCol w:w="109"/>
        <w:gridCol w:w="1133"/>
        <w:gridCol w:w="1062"/>
        <w:gridCol w:w="1075"/>
        <w:gridCol w:w="109"/>
        <w:gridCol w:w="109"/>
        <w:gridCol w:w="109"/>
        <w:gridCol w:w="199"/>
        <w:gridCol w:w="199"/>
        <w:gridCol w:w="200"/>
        <w:gridCol w:w="109"/>
        <w:gridCol w:w="109"/>
        <w:gridCol w:w="109"/>
        <w:gridCol w:w="287"/>
        <w:gridCol w:w="287"/>
        <w:gridCol w:w="267"/>
        <w:gridCol w:w="109"/>
        <w:gridCol w:w="109"/>
        <w:gridCol w:w="109"/>
        <w:gridCol w:w="269"/>
        <w:gridCol w:w="269"/>
        <w:gridCol w:w="271"/>
        <w:gridCol w:w="109"/>
        <w:gridCol w:w="109"/>
        <w:gridCol w:w="109"/>
        <w:gridCol w:w="438"/>
        <w:gridCol w:w="276"/>
        <w:gridCol w:w="268"/>
        <w:gridCol w:w="109"/>
        <w:gridCol w:w="109"/>
        <w:gridCol w:w="109"/>
        <w:gridCol w:w="266"/>
        <w:gridCol w:w="266"/>
        <w:gridCol w:w="386"/>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Filing </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16"/>
                  <w:u w:val="single"/>
                </w:rPr>
                <w:t>Business Combination Agreement, dated as of April 14, 2025, by and among Ares Acquisition Corporation II, Kodiak Robotics, Inc. and AAC II Merger Sub,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S-4/A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333-287278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r>
              <w:fldChar w:fldCharType="begin"/>
            </w:r>
            <w:r>
              <w:rPr>
                <w:rStyle w:val="InternetLink"/>
                <w:sz w:val="16"/>
                <w:u w:val="single"/>
                <w:b w:val="false"/>
                <w:rFonts w:ascii="Times New Roman;serif" w:hAnsi="Times New Roman;serif"/>
                <w:color w:val="0000FF"/>
              </w:rPr>
              <w:instrText xml:space="preserve"> HYPERLINK "https://www.sec.gov/ix?doc=/Archives/edgar/data/0001853138/000119312525181961/d948047ds4a.htm" \l "anxb"</w:instrText>
            </w:r>
            <w:r>
              <w:rPr>
                <w:rStyle w:val="InternetLink"/>
                <w:sz w:val="16"/>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16"/>
                <w:u w:val="single"/>
              </w:rPr>
              <w:t>Plan of Domestication of Ares Acquisition Corporation II</w:t>
            </w:r>
            <w:r>
              <w:rPr>
                <w:rStyle w:val="InternetLink"/>
                <w:sz w:val="16"/>
                <w:u w:val="single"/>
                <w:b w:val="false"/>
                <w:rFonts w:ascii="Times New Roman;serif" w:hAnsi="Times New Roman;serif"/>
                <w:color w:val="0000FF"/>
              </w:rPr>
              <w:fldChar w:fldCharType="end"/>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S-4/A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333-287278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16"/>
                  <w:u w:val="single"/>
                </w:rPr>
                <w:t>Certificate of Incorporation of Kodiak AI,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474345"/>
                <wp:effectExtent l="0" t="0" r="0" b="0"/>
                <wp:wrapNone/>
                <wp:docPr id="136" name="Frame132"/>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288" w:before="0" w:after="0"/>
        <w:jc w:val="left"/>
        <w:rPr/>
      </w:pPr>
      <w:hyperlink r:id="rId8">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96"/>
        <w:gridCol w:w="172"/>
        <w:gridCol w:w="177"/>
        <w:gridCol w:w="109"/>
        <w:gridCol w:w="109"/>
        <w:gridCol w:w="109"/>
        <w:gridCol w:w="1651"/>
        <w:gridCol w:w="1361"/>
        <w:gridCol w:w="1366"/>
        <w:gridCol w:w="109"/>
        <w:gridCol w:w="109"/>
        <w:gridCol w:w="109"/>
        <w:gridCol w:w="193"/>
        <w:gridCol w:w="193"/>
        <w:gridCol w:w="195"/>
        <w:gridCol w:w="109"/>
        <w:gridCol w:w="109"/>
        <w:gridCol w:w="109"/>
        <w:gridCol w:w="331"/>
        <w:gridCol w:w="262"/>
        <w:gridCol w:w="263"/>
        <w:gridCol w:w="109"/>
        <w:gridCol w:w="109"/>
        <w:gridCol w:w="109"/>
        <w:gridCol w:w="168"/>
        <w:gridCol w:w="168"/>
        <w:gridCol w:w="175"/>
        <w:gridCol w:w="109"/>
        <w:gridCol w:w="109"/>
        <w:gridCol w:w="109"/>
        <w:gridCol w:w="330"/>
        <w:gridCol w:w="330"/>
        <w:gridCol w:w="332"/>
        <w:gridCol w:w="109"/>
        <w:gridCol w:w="109"/>
        <w:gridCol w:w="109"/>
        <w:gridCol w:w="109"/>
        <w:gridCol w:w="109"/>
        <w:gridCol w:w="162"/>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16"/>
                  <w:u w:val="single"/>
                </w:rPr>
                <w:t>Certificate of Designation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16"/>
                  <w:u w:val="single"/>
                </w:rPr>
                <w:t>Bylaws of Kodiak AI,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16"/>
                  <w:u w:val="single"/>
                </w:rPr>
                <w:t>Specimen Common Stock Certificate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16"/>
                  <w:u w:val="single"/>
                </w:rPr>
                <w:t>Warrant Agreement, dated as of April 20, 2023, by and between Continental Stock Transfer &amp; Trust Company and the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26,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FF"/>
                  <w:sz w:val="16"/>
                  <w:u w:val="single"/>
                </w:rPr>
                <w:t>Form of Assumed Kodiak Warrant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S-4/A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333-287278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16"/>
                  <w:u w:val="single"/>
                </w:rPr>
                <w:t>Form of Public Warrant Certificate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S-1/A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333-290832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7,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FF"/>
                  <w:sz w:val="16"/>
                  <w:u w:val="single"/>
                </w:rPr>
                <w:t>Form of PIPE Warrant Certificate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FF"/>
                  <w:sz w:val="16"/>
                  <w:u w:val="single"/>
                </w:rPr>
                <w:t>Form of Non-Redemption Agreement Warrant Certificate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23,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fy25ex47xdescriptionofcapi.htm">
              <w:r>
                <w:rPr>
                  <w:rStyle w:val="InternetLink"/>
                  <w:rFonts w:ascii="Times New Roman;serif" w:hAnsi="Times New Roman;serif"/>
                  <w:b w:val="false"/>
                  <w:color w:val="000080"/>
                  <w:sz w:val="16"/>
                  <w:u w:val="single"/>
                </w:rPr>
                <w:t>D</w:t>
              </w:r>
            </w:hyperlink>
            <w:hyperlink w:anchor="fy25ex47xdescriptionofcapi.htm">
              <w:r>
                <w:rPr>
                  <w:rStyle w:val="InternetLink"/>
                  <w:rFonts w:ascii="Times New Roman;serif" w:hAnsi="Times New Roman;serif"/>
                  <w:b w:val="false"/>
                  <w:color w:val="000080"/>
                  <w:sz w:val="16"/>
                  <w:u w:val="single"/>
                </w:rPr>
                <w:t>escription of Capit</w:t>
              </w:r>
            </w:hyperlink>
            <w:hyperlink w:anchor="fy25ex47xdescriptionofcapi.htm">
              <w:r>
                <w:rPr>
                  <w:rStyle w:val="InternetLink"/>
                  <w:rFonts w:ascii="Times New Roman;serif" w:hAnsi="Times New Roman;serif"/>
                  <w:b w:val="false"/>
                  <w:color w:val="000080"/>
                  <w:sz w:val="16"/>
                  <w:u w:val="single"/>
                </w:rPr>
                <w:t>al Stock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FF"/>
                  <w:sz w:val="16"/>
                  <w:u w:val="single"/>
                </w:rPr>
                <w:t>Amended and Restated Registration Rights Agreement, dated as of September 24, 2025, by and among the Company and each of the stockholders of the Company identified on the signature pages thereto</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erif" w:hAnsi="Times New Roman;serif"/>
                  <w:b w:val="false"/>
                  <w:color w:val="0000FF"/>
                  <w:sz w:val="16"/>
                  <w:u w:val="single"/>
                </w:rPr>
                <w:t>Kodiak AI, Inc. 2025 Equity Incentive Plan and forms of agreements thereunder</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erif" w:hAnsi="Times New Roman;serif"/>
                  <w:b w:val="false"/>
                  <w:color w:val="0000FF"/>
                  <w:sz w:val="16"/>
                  <w:u w:val="single"/>
                </w:rPr>
                <w:t>Kodiak AI, Inc. 2025 Employee Stock Purchase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erif" w:hAnsi="Times New Roman;serif"/>
                  <w:b w:val="false"/>
                  <w:color w:val="0000FF"/>
                  <w:sz w:val="16"/>
                  <w:u w:val="single"/>
                </w:rPr>
                <w:t>Kodiak AI, Inc. Executive Change in Control and Severance Policy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erif" w:hAnsi="Times New Roman;serif"/>
                  <w:b w:val="false"/>
                  <w:color w:val="0000FF"/>
                  <w:sz w:val="16"/>
                  <w:u w:val="single"/>
                </w:rPr>
                <w:t>Kodiak AI, Inc. Executive Incentive Compensation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erif" w:hAnsi="Times New Roman;serif"/>
                  <w:b w:val="false"/>
                  <w:color w:val="0000FF"/>
                  <w:sz w:val="16"/>
                  <w:u w:val="single"/>
                </w:rPr>
                <w:t>Kodiak AI, Inc. Outside Director Compensation Policy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erif" w:hAnsi="Times New Roman;serif"/>
                  <w:b w:val="false"/>
                  <w:color w:val="0000FF"/>
                  <w:sz w:val="16"/>
                  <w:u w:val="single"/>
                </w:rPr>
                <w:t>Kodiak AI, Inc. 2018 Equity Incentive Plan and forms of agreements thereunder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erif" w:hAnsi="Times New Roman;serif"/>
                  <w:b w:val="false"/>
                  <w:color w:val="0000FF"/>
                  <w:sz w:val="16"/>
                  <w:u w:val="single"/>
                </w:rPr>
                <w:t>Confirmatory Employment Letter between the Company and Don Burnette, effective July 18,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S-4/A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333-287278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erif" w:hAnsi="Times New Roman;serif"/>
                  <w:b w:val="false"/>
                  <w:color w:val="0000FF"/>
                  <w:sz w:val="16"/>
                  <w:u w:val="single"/>
                </w:rPr>
                <w:t>Confirmatory Employment Letter between the Company and Michael Wiesinger, effective July 18,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S-4/A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333-287278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fy25ex1010xofferlettertosu.htm">
              <w:r>
                <w:rPr>
                  <w:rStyle w:val="InternetLink"/>
                  <w:rFonts w:ascii="Times New Roman;serif" w:hAnsi="Times New Roman;serif"/>
                  <w:b w:val="false"/>
                  <w:color w:val="000080"/>
                  <w:sz w:val="16"/>
                  <w:u w:val="single"/>
                </w:rPr>
                <w:t>O</w:t>
              </w:r>
            </w:hyperlink>
            <w:hyperlink w:anchor="fy25ex1010xofferlettertosu.htm">
              <w:r>
                <w:rPr>
                  <w:rStyle w:val="InternetLink"/>
                  <w:rFonts w:ascii="Times New Roman;serif" w:hAnsi="Times New Roman;serif"/>
                  <w:b w:val="false"/>
                  <w:color w:val="000080"/>
                  <w:sz w:val="16"/>
                  <w:u w:val="single"/>
                </w:rPr>
                <w:t xml:space="preserve">ffer Letter between the Company and Surajit Datta, dated </w:t>
              </w:r>
            </w:hyperlink>
            <w:hyperlink w:anchor="fy25ex1010xofferlettertosu.htm">
              <w:r>
                <w:rPr>
                  <w:rStyle w:val="InternetLink"/>
                  <w:rFonts w:ascii="Times New Roman;serif" w:hAnsi="Times New Roman;serif"/>
                  <w:b w:val="false"/>
                  <w:color w:val="000080"/>
                  <w:sz w:val="16"/>
                  <w:u w:val="single"/>
                </w:rPr>
                <w:t>August 18,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erif" w:hAnsi="Times New Roman;serif"/>
                  <w:b w:val="false"/>
                  <w:color w:val="0000FF"/>
                  <w:sz w:val="16"/>
                  <w:u w:val="single"/>
                </w:rPr>
                <w:t>Form of Indemnification Agreement between Kodiak AI, Inc. and each of its directors and executive officers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S-4/A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333-287278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16"/>
                <w:u w:val="single"/>
                <w:b w:val="false"/>
                <w:rFonts w:ascii="Times New Roman;serif" w:hAnsi="Times New Roman;serif"/>
                <w:color w:val="0000FF"/>
              </w:rPr>
              <w:instrText xml:space="preserve"> HYPERLINK "https://www.sec.gov/ix?doc=/Archives/edgar/data/1747286/000119312525187391/d948047ds4a.htm" \l "anxi"</w:instrText>
            </w:r>
            <w:r>
              <w:rPr>
                <w:rStyle w:val="InternetLink"/>
                <w:sz w:val="16"/>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16"/>
                <w:u w:val="single"/>
              </w:rPr>
              <w:t>Sponsor Support Agreement, dated as of April 14, 2025, by and among Ares Acquisition Corporation II, Kodiak Robotics, Inc. and Ares Acquisition Holdings II LP</w:t>
            </w:r>
            <w:r>
              <w:rPr>
                <w:rStyle w:val="InternetLink"/>
                <w:sz w:val="16"/>
                <w:u w:val="single"/>
                <w:b w:val="false"/>
                <w:rFonts w:ascii="Times New Roman;serif" w:hAnsi="Times New Roman;serif"/>
                <w:color w:val="0000FF"/>
              </w:rPr>
              <w:fldChar w:fldCharType="end"/>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S-4/A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333-287278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erif" w:hAnsi="Times New Roman;serif"/>
                  <w:b w:val="false"/>
                  <w:color w:val="0000FF"/>
                  <w:sz w:val="16"/>
                  <w:u w:val="single"/>
                </w:rPr>
                <w:t>Form of Company Support Agreement, by and among Ares Acquisition Corporation II, Kodiak Robotics, Inc. and the persons set forth on Schedule 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14,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16"/>
                <w:u w:val="single"/>
                <w:b w:val="false"/>
                <w:rFonts w:ascii="Times New Roman;serif" w:hAnsi="Times New Roman;serif"/>
                <w:color w:val="0000FF"/>
              </w:rPr>
              <w:instrText xml:space="preserve"> HYPERLINK "https://www.sec.gov/ix?doc=/Archives/edgar/data/1747286/000119312525187391/d948047ds4a.htm" \l "anxk"</w:instrText>
            </w:r>
            <w:r>
              <w:rPr>
                <w:rStyle w:val="InternetLink"/>
                <w:sz w:val="16"/>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16"/>
                <w:u w:val="single"/>
              </w:rPr>
              <w:t>Form of PIPE Subscription Agreement</w:t>
            </w:r>
            <w:r>
              <w:rPr>
                <w:rStyle w:val="InternetLink"/>
                <w:sz w:val="16"/>
                <w:u w:val="single"/>
                <w:b w:val="false"/>
                <w:rFonts w:ascii="Times New Roman;serif" w:hAnsi="Times New Roman;serif"/>
                <w:color w:val="0000FF"/>
              </w:rPr>
              <w:fldChar w:fldCharType="end"/>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S-4/A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333-287278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erif" w:hAnsi="Times New Roman;serif"/>
                  <w:b w:val="false"/>
                  <w:color w:val="0000FF"/>
                  <w:sz w:val="16"/>
                  <w:u w:val="single"/>
                </w:rPr>
                <w:t>Letter Agreement, dated as of April 20, 2023, by and among Ares Acquisition Corporation II, Ares Acquisition Holdings II LP and Ares Acquisition Corporation II’s directors and officers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26,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erif" w:hAnsi="Times New Roman;serif"/>
                  <w:b w:val="false"/>
                  <w:color w:val="0000FF"/>
                  <w:sz w:val="16"/>
                  <w:u w:val="single"/>
                </w:rPr>
                <w:t>Venture Loan and Security Agreement, dated as of December 31, 2025, by and among Kodiak AI, Inc., Kodiak Robotics, Inc. and Horizon Technology Finance Corporation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erif" w:hAnsi="Times New Roman;serif"/>
                  <w:b w:val="false"/>
                  <w:color w:val="0000FF"/>
                  <w:sz w:val="16"/>
                  <w:u w:val="single"/>
                </w:rPr>
                <w:t>Second Lien Loan and Security Agreement, by and among Kodiak Robotics, Inc., Ares Agent Services, L.P. and the lenders identified on the signature pages thereto, dated as of April 14,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S-4/A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333-287278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erif" w:hAnsi="Times New Roman;serif"/>
                  <w:b w:val="false"/>
                  <w:color w:val="0000FF"/>
                  <w:sz w:val="16"/>
                  <w:u w:val="single"/>
                </w:rPr>
                <w:t>First Amendment to Second Lien Loan and Security Agreement, by and among Kodiak Robotics, Inc., Ares Agent Services, L.P. and the lenders identified on the signature pages thereto, dated as of July 18,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S-4/A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333-287278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474345"/>
                <wp:effectExtent l="0" t="0" r="0" b="0"/>
                <wp:wrapNone/>
                <wp:docPr id="137" name="Frame133"/>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lineRule="auto" w:line="288" w:before="0" w:after="0"/>
        <w:jc w:val="left"/>
        <w:rPr/>
      </w:pPr>
      <w:hyperlink r:id="rId32">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08"/>
        <w:gridCol w:w="183"/>
        <w:gridCol w:w="185"/>
        <w:gridCol w:w="109"/>
        <w:gridCol w:w="109"/>
        <w:gridCol w:w="109"/>
        <w:gridCol w:w="1692"/>
        <w:gridCol w:w="1339"/>
        <w:gridCol w:w="1343"/>
        <w:gridCol w:w="109"/>
        <w:gridCol w:w="109"/>
        <w:gridCol w:w="109"/>
        <w:gridCol w:w="191"/>
        <w:gridCol w:w="191"/>
        <w:gridCol w:w="193"/>
        <w:gridCol w:w="109"/>
        <w:gridCol w:w="109"/>
        <w:gridCol w:w="109"/>
        <w:gridCol w:w="281"/>
        <w:gridCol w:w="281"/>
        <w:gridCol w:w="282"/>
        <w:gridCol w:w="109"/>
        <w:gridCol w:w="109"/>
        <w:gridCol w:w="109"/>
        <w:gridCol w:w="170"/>
        <w:gridCol w:w="170"/>
        <w:gridCol w:w="171"/>
        <w:gridCol w:w="109"/>
        <w:gridCol w:w="109"/>
        <w:gridCol w:w="109"/>
        <w:gridCol w:w="441"/>
        <w:gridCol w:w="277"/>
        <w:gridCol w:w="266"/>
        <w:gridCol w:w="109"/>
        <w:gridCol w:w="109"/>
        <w:gridCol w:w="109"/>
        <w:gridCol w:w="109"/>
        <w:gridCol w:w="109"/>
        <w:gridCol w:w="161"/>
      </w:tblGrid>
      <w:tr>
        <w:trPr/>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erif" w:hAnsi="Times New Roman;serif"/>
                  <w:b w:val="false"/>
                  <w:color w:val="0000FF"/>
                  <w:sz w:val="16"/>
                  <w:u w:val="single"/>
                </w:rPr>
                <w:t>Second Amendment to Second Lien Loan and Security Agreement, by and among Kodiak Robotics, Inc., Ares Agent Services, L.P. and the lenders identified on the signature pages thereto, dated as of August 25,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S-4/A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333-287278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fy25ex1020xthirdamendmentt.htm">
              <w:r>
                <w:rPr>
                  <w:rStyle w:val="InternetLink"/>
                  <w:rFonts w:ascii="Times New Roman;serif" w:hAnsi="Times New Roman;serif"/>
                  <w:b w:val="false"/>
                  <w:color w:val="000080"/>
                  <w:sz w:val="16"/>
                  <w:u w:val="single"/>
                  <w:shd w:fill="FFFFFF" w:val="clear"/>
                </w:rPr>
                <w:t xml:space="preserve">Third Amendment to Second Lien Loan and Security Agreement, by and among Kodiak Robotics, Inc., Ares Agent Services, L.P. and the lenders identified on the signature pages thereto, dated as of March </w:t>
              </w:r>
            </w:hyperlink>
            <w:hyperlink w:anchor="fy25ex1020xthirdamendmentt.htm">
              <w:r>
                <w:rPr>
                  <w:rStyle w:val="InternetLink"/>
                  <w:rFonts w:ascii="Times New Roman;serif" w:hAnsi="Times New Roman;serif"/>
                  <w:b w:val="false"/>
                  <w:color w:val="000080"/>
                  <w:sz w:val="16"/>
                  <w:u w:val="single"/>
                  <w:shd w:fill="FFFFFF" w:val="clear"/>
                </w:rPr>
                <w:t>2</w:t>
              </w:r>
            </w:hyperlink>
            <w:hyperlink w:anchor="fy25ex1020xthirdamendmentt.htm">
              <w:r>
                <w:rPr>
                  <w:rStyle w:val="InternetLink"/>
                  <w:rFonts w:ascii="Times New Roman;serif" w:hAnsi="Times New Roman;serif"/>
                  <w:b w:val="false"/>
                  <w:color w:val="000080"/>
                  <w:sz w:val="16"/>
                  <w:u w:val="single"/>
                  <w:shd w:fill="FFFFFF" w:val="clear"/>
                </w:rPr>
                <w:t>,</w:t>
              </w:r>
            </w:hyperlink>
            <w:hyperlink w:anchor="fy25ex1020xthirdamendmentt.htm">
              <w:r>
                <w:rPr>
                  <w:rStyle w:val="InternetLink"/>
                  <w:rFonts w:ascii="Times New Roman;serif" w:hAnsi="Times New Roman;serif"/>
                  <w:b w:val="false"/>
                  <w:color w:val="000080"/>
                  <w:sz w:val="16"/>
                  <w:u w:val="single"/>
                  <w:shd w:fill="FFFFFF" w:val="clear"/>
                </w:rPr>
                <w:t xml:space="preserve"> 2026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Times New Roman;serif" w:hAnsi="Times New Roman;serif"/>
                  <w:b w:val="false"/>
                  <w:color w:val="0000FF"/>
                  <w:sz w:val="16"/>
                  <w:u w:val="single"/>
                </w:rPr>
                <w:t>Master Financing Agreement between Kodiak Robotics, Inc. and Western Alliance Equipment Finance, LLC, dated July 19, 2022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Form S-4/A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333-287278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Times New Roman;serif" w:hAnsi="Times New Roman;serif"/>
                  <w:b w:val="false"/>
                  <w:color w:val="0000FF"/>
                  <w:sz w:val="16"/>
                  <w:u w:val="single"/>
                </w:rPr>
                <w:t xml:space="preserve">Master Services Agreement between Kodiak Robotics, Inc. and Fountainhead Logistics, LLC, dated July 17, 2024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Form S-4/A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333-287278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Times New Roman;serif" w:hAnsi="Times New Roman;serif"/>
                  <w:b w:val="false"/>
                  <w:color w:val="0000FF"/>
                  <w:sz w:val="16"/>
                  <w:u w:val="single"/>
                </w:rPr>
                <w:t>Amendment No. 1 to Master Services Agreement between Kodiak Robotics, Inc. and Fountainhead Logistics, LLC, dated June 13,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Form S-4/A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333-287278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Times New Roman;serif" w:hAnsi="Times New Roman;serif"/>
                  <w:b w:val="false"/>
                  <w:color w:val="0000FF"/>
                  <w:sz w:val="16"/>
                  <w:u w:val="single"/>
                </w:rPr>
                <w:t>Master Services and Software License Agreement between Kodiak Robotics, Inc. and Applied Intuition, Inc., dated September 27, 2018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Form S-4/A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333-287278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Times New Roman;serif" w:hAnsi="Times New Roman;serif"/>
                  <w:b w:val="false"/>
                  <w:color w:val="0000FF"/>
                  <w:sz w:val="16"/>
                  <w:u w:val="single"/>
                </w:rPr>
                <w:t>Renewal Agreement to Master Services and Software License Agreement between Kodiak Robotics, Inc. and Applied Intuition, Inc., dated September 19,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Form S-4/A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333-287278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9">
              <w:r>
                <w:rPr>
                  <w:rStyle w:val="InternetLink"/>
                  <w:rFonts w:ascii="Times New Roman;serif" w:hAnsi="Times New Roman;serif"/>
                  <w:b w:val="false"/>
                  <w:color w:val="0000FF"/>
                  <w:sz w:val="16"/>
                  <w:u w:val="single"/>
                </w:rPr>
                <w:t>Board Observer Agreement, dated September 24, 2025, by and between Ares Acquisition Corporation II and Ares Acquisition Holdings II LP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Times New Roman;serif" w:hAnsi="Times New Roman;serif"/>
                  <w:b w:val="false"/>
                  <w:color w:val="0000FF"/>
                  <w:sz w:val="16"/>
                  <w:u w:val="single"/>
                </w:rPr>
                <w:t>Letter Agreement by and among Kodiak Robotics, Inc., Ares Acquisition Corporation II, Ares Acquisition Holdings II LP and AAC II Co-Invest LP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S-4/A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333-287278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1">
              <w:r>
                <w:rPr>
                  <w:rStyle w:val="InternetLink"/>
                  <w:rFonts w:ascii="Times New Roman;serif" w:hAnsi="Times New Roman;serif"/>
                  <w:b w:val="false"/>
                  <w:color w:val="0000FF"/>
                  <w:sz w:val="16"/>
                  <w:u w:val="single"/>
                </w:rPr>
                <w:t>Acknowledgement and Agreement, by and among Kodiak Robotics, Inc., Ares Agent Services, L.P. and AAC II Holdings II LP, dated as of September 15,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2">
              <w:r>
                <w:rPr>
                  <w:rStyle w:val="InternetLink"/>
                  <w:rFonts w:ascii="Times New Roman;serif" w:hAnsi="Times New Roman;serif"/>
                  <w:b w:val="false"/>
                  <w:color w:val="0000FF"/>
                  <w:sz w:val="16"/>
                  <w:u w:val="single"/>
                </w:rPr>
                <w:t>Form of Subscription Agreement for Preferred Investment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3">
              <w:r>
                <w:rPr>
                  <w:rStyle w:val="InternetLink"/>
                  <w:rFonts w:ascii="Times New Roman;serif" w:hAnsi="Times New Roman;serif"/>
                  <w:b w:val="false"/>
                  <w:color w:val="0000FF"/>
                  <w:sz w:val="16"/>
                  <w:u w:val="single"/>
                </w:rPr>
                <w:t>Form of Common Stock Non-Redemption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23,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4">
              <w:r>
                <w:rPr>
                  <w:rStyle w:val="InternetLink"/>
                  <w:rFonts w:ascii="Times New Roman;serif" w:hAnsi="Times New Roman;serif"/>
                  <w:b w:val="false"/>
                  <w:color w:val="0000FF"/>
                  <w:sz w:val="16"/>
                  <w:u w:val="single"/>
                </w:rPr>
                <w:t>Form of Warrant Non-Redemption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23,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fy25ex191xinsidertradingpo.htm">
              <w:r>
                <w:rPr>
                  <w:rStyle w:val="InternetLink"/>
                  <w:rFonts w:ascii="Times New Roman;serif" w:hAnsi="Times New Roman;serif"/>
                  <w:b w:val="false"/>
                  <w:color w:val="000080"/>
                  <w:sz w:val="16"/>
                  <w:u w:val="single"/>
                </w:rPr>
                <w:t>I</w:t>
              </w:r>
            </w:hyperlink>
            <w:hyperlink w:anchor="fy25ex191xinsidertradingpo.htm">
              <w:r>
                <w:rPr>
                  <w:rStyle w:val="InternetLink"/>
                  <w:rFonts w:ascii="Times New Roman;serif" w:hAnsi="Times New Roman;serif"/>
                  <w:b w:val="false"/>
                  <w:color w:val="000080"/>
                  <w:sz w:val="16"/>
                  <w:u w:val="single"/>
                </w:rPr>
                <w:t>nsider Trading Policy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80"/>
                  <w:sz w:val="16"/>
                  <w:u w:val="single"/>
                </w:rPr>
                <w:t>L</w:t>
              </w:r>
            </w:hyperlink>
            <w:hyperlink r:id="rId46">
              <w:r>
                <w:rPr>
                  <w:rStyle w:val="InternetLink"/>
                  <w:rFonts w:ascii="Times New Roman;serif" w:hAnsi="Times New Roman;serif"/>
                  <w:b w:val="false"/>
                  <w:color w:val="000080"/>
                  <w:sz w:val="16"/>
                  <w:u w:val="single"/>
                </w:rPr>
                <w:t>is</w:t>
              </w:r>
            </w:hyperlink>
            <w:hyperlink r:id="rId47">
              <w:r>
                <w:rPr>
                  <w:rStyle w:val="InternetLink"/>
                  <w:rFonts w:ascii="Times New Roman;serif" w:hAnsi="Times New Roman;serif"/>
                  <w:b w:val="false"/>
                  <w:color w:val="000080"/>
                  <w:sz w:val="16"/>
                  <w:u w:val="single"/>
                </w:rPr>
                <w:t>t of Subsidiaries of the C</w:t>
              </w:r>
            </w:hyperlink>
            <w:hyperlink r:id="rId48">
              <w:r>
                <w:rPr>
                  <w:rStyle w:val="InternetLink"/>
                  <w:rFonts w:ascii="Times New Roman;serif" w:hAnsi="Times New Roman;serif"/>
                  <w:b w:val="false"/>
                  <w:color w:val="000080"/>
                  <w:sz w:val="16"/>
                  <w:u w:val="single"/>
                </w:rPr>
                <w:t>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Form 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333-290832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10,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fy25ex231xconsentofernstyo.htm">
              <w:r>
                <w:rPr>
                  <w:rStyle w:val="InternetLink"/>
                  <w:rFonts w:ascii="Times New Roman;serif" w:hAnsi="Times New Roman;serif"/>
                  <w:b w:val="false"/>
                  <w:color w:val="000080"/>
                  <w:sz w:val="16"/>
                  <w:u w:val="single"/>
                </w:rPr>
                <w:t>C</w:t>
              </w:r>
            </w:hyperlink>
            <w:hyperlink w:anchor="fy25ex231xconsentofernstyo.htm">
              <w:r>
                <w:rPr>
                  <w:rStyle w:val="InternetLink"/>
                  <w:rFonts w:ascii="Times New Roman;serif" w:hAnsi="Times New Roman;serif"/>
                  <w:b w:val="false"/>
                  <w:color w:val="000080"/>
                  <w:sz w:val="16"/>
                  <w:u w:val="single"/>
                </w:rPr>
                <w:t>onsent of Ernst &amp; Young LLP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fy25ex232xconsentofdeloitte.htm">
              <w:r>
                <w:rPr>
                  <w:rStyle w:val="InternetLink"/>
                  <w:rFonts w:ascii="Times New Roman;serif" w:hAnsi="Times New Roman;serif"/>
                  <w:b w:val="false"/>
                  <w:color w:val="000080"/>
                  <w:sz w:val="16"/>
                  <w:u w:val="single"/>
                </w:rPr>
                <w:t>C</w:t>
              </w:r>
            </w:hyperlink>
            <w:hyperlink w:anchor="fy25ex232xconsentofdeloitte.htm">
              <w:r>
                <w:rPr>
                  <w:rStyle w:val="InternetLink"/>
                  <w:rFonts w:ascii="Times New Roman;serif" w:hAnsi="Times New Roman;serif"/>
                  <w:b w:val="false"/>
                  <w:color w:val="000080"/>
                  <w:sz w:val="16"/>
                  <w:u w:val="single"/>
                </w:rPr>
                <w:t>onsent of Deloitte &amp; Touche LLP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8d4c0322044448ab394c86998693fbc_166">
              <w:r>
                <w:rPr>
                  <w:rStyle w:val="InternetLink"/>
                  <w:rFonts w:ascii="Times New Roman;serif" w:hAnsi="Times New Roman;serif"/>
                  <w:b w:val="false"/>
                  <w:color w:val="0000FF"/>
                  <w:sz w:val="16"/>
                  <w:u w:val="single"/>
                </w:rPr>
                <w:t>Power of Attorney (contained in the signature page to this Annual Report on Form 10-K)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fy25ex311xsection302xceo.htm">
              <w:r>
                <w:rPr>
                  <w:rStyle w:val="InternetLink"/>
                  <w:rFonts w:ascii="Times New Roman;serif" w:hAnsi="Times New Roman;serif"/>
                  <w:b w:val="false"/>
                  <w:color w:val="0000FF"/>
                  <w:sz w:val="16"/>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fy25ex312xsection302xcfo.htm">
              <w:r>
                <w:rPr>
                  <w:rStyle w:val="InternetLink"/>
                  <w:rFonts w:ascii="Times New Roman;serif" w:hAnsi="Times New Roman;serif"/>
                  <w:b w:val="false"/>
                  <w:color w:val="0000FF"/>
                  <w:sz w:val="16"/>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fy25ex321xsection906xceo.htm">
              <w:r>
                <w:rPr>
                  <w:rStyle w:val="InternetLink"/>
                  <w:rFonts w:ascii="Times New Roman;serif" w:hAnsi="Times New Roman;serif"/>
                  <w:b w:val="false"/>
                  <w:color w:val="0000FF"/>
                  <w:sz w:val="16"/>
                  <w:u w:val="single"/>
                </w:rPr>
                <w:t>Certification of Principal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fy25ex322xsection906xcfo.htm">
              <w:r>
                <w:rPr>
                  <w:rStyle w:val="InternetLink"/>
                  <w:rFonts w:ascii="Times New Roman;serif" w:hAnsi="Times New Roman;serif"/>
                  <w:b w:val="false"/>
                  <w:color w:val="0000FF"/>
                  <w:sz w:val="16"/>
                  <w:u w:val="single"/>
                </w:rPr>
                <w:t>Certification of Principal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9">
              <w:r>
                <w:rPr>
                  <w:rStyle w:val="InternetLink"/>
                  <w:rFonts w:ascii="Times New Roman;serif" w:hAnsi="Times New Roman;serif"/>
                  <w:b w:val="false"/>
                  <w:color w:val="0000FF"/>
                  <w:sz w:val="16"/>
                  <w:u w:val="single"/>
                </w:rPr>
                <w:t>Kodiak AI, Inc. Compensation Recovery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 001-41691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Instance Document - the instance document does not appear in the Interactive Data File because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474345"/>
                <wp:effectExtent l="0" t="0" r="0" b="0"/>
                <wp:wrapNone/>
                <wp:docPr id="138" name="Frame134"/>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lineRule="auto" w:line="288" w:before="0" w:after="0"/>
        <w:jc w:val="left"/>
        <w:rPr/>
      </w:pPr>
      <w:hyperlink r:id="rId50">
        <w:r>
          <w:rPr>
            <w:rStyle w:val="InternetLink"/>
            <w:rFonts w:ascii="Times New Roman;serif" w:hAnsi="Times New Roman;serif"/>
            <w:b/>
            <w:color w:val="0000FF"/>
            <w:sz w:val="20"/>
            <w:u w:val="single"/>
          </w:rPr>
          <w:t>Table of Contents</w:t>
        </w:r>
      </w:hyperlink>
    </w:p>
    <w:tbl>
      <w:tblPr>
        <w:tblW w:w="10002" w:type="dxa"/>
        <w:jc w:val="left"/>
        <w:tblInd w:w="0" w:type="dxa"/>
        <w:tblLayout w:type="fixed"/>
        <w:tblCellMar>
          <w:top w:w="28" w:type="dxa"/>
          <w:left w:w="28" w:type="dxa"/>
          <w:bottom w:w="28" w:type="dxa"/>
          <w:right w:w="28" w:type="dxa"/>
        </w:tblCellMar>
      </w:tblPr>
      <w:tblGrid>
        <w:gridCol w:w="265"/>
        <w:gridCol w:w="234"/>
        <w:gridCol w:w="236"/>
        <w:gridCol w:w="109"/>
        <w:gridCol w:w="109"/>
        <w:gridCol w:w="109"/>
        <w:gridCol w:w="1873"/>
        <w:gridCol w:w="1873"/>
        <w:gridCol w:w="187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26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 Page Interactive Data File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bl>
    <w:p>
      <w:pPr>
        <w:pStyle w:val="TextBody"/>
        <w:bidi w:val="0"/>
        <w:spacing w:lineRule="auto" w:line="288" w:before="240" w:after="283"/>
        <w:ind w:left="0" w:right="0" w:hanging="202"/>
        <w:jc w:val="both"/>
        <w:rPr>
          <w:rFonts w:ascii="Times New Roman;serif" w:hAnsi="Times New Roman;serif"/>
          <w:b w:val="false"/>
          <w:color w:val="000000"/>
          <w:sz w:val="16"/>
        </w:rPr>
      </w:pPr>
      <w:r>
        <w:rPr>
          <w:rFonts w:ascii="Times New Roman;serif" w:hAnsi="Times New Roman;serif"/>
          <w:b w:val="false"/>
          <w:color w:val="000000"/>
          <w:sz w:val="16"/>
        </w:rPr>
        <w:t>*     Certain schedules and similar attachments to this Exhibit have been omitted in accordance with Item 601(a)(5) or (b)(2), as applicable of Regulation S-K. The registrants agree to furnish supplementally a copy of any omitted exhibit or schedule to the SEC upon its request.</w:t>
      </w:r>
    </w:p>
    <w:p>
      <w:pPr>
        <w:pStyle w:val="TextBody"/>
        <w:bidi w:val="0"/>
        <w:spacing w:lineRule="auto" w:line="288" w:before="240" w:after="283"/>
        <w:ind w:left="0" w:right="0" w:hanging="202"/>
        <w:jc w:val="both"/>
        <w:rPr>
          <w:rFonts w:ascii="Times New Roman;serif" w:hAnsi="Times New Roman;serif"/>
          <w:b w:val="false"/>
          <w:color w:val="000000"/>
          <w:sz w:val="16"/>
        </w:rPr>
      </w:pPr>
      <w:r>
        <w:rPr>
          <w:rFonts w:ascii="Times New Roman;serif" w:hAnsi="Times New Roman;serif"/>
          <w:b w:val="false"/>
          <w:color w:val="000000"/>
          <w:sz w:val="16"/>
        </w:rPr>
        <w:t>+    Indicates management contract or compensatory plan.</w:t>
      </w:r>
    </w:p>
    <w:p>
      <w:pPr>
        <w:pStyle w:val="TextBody"/>
        <w:bidi w:val="0"/>
        <w:spacing w:lineRule="auto" w:line="288" w:before="240" w:after="283"/>
        <w:ind w:left="0" w:right="0" w:hanging="202"/>
        <w:jc w:val="both"/>
        <w:rPr>
          <w:rFonts w:ascii="Times New Roman;serif" w:hAnsi="Times New Roman;serif"/>
          <w:b w:val="false"/>
          <w:color w:val="000000"/>
          <w:sz w:val="16"/>
        </w:rPr>
      </w:pPr>
      <w:r>
        <w:rPr>
          <w:rFonts w:ascii="Times New Roman;serif" w:hAnsi="Times New Roman;serif"/>
          <w:b w:val="false"/>
          <w:color w:val="000000"/>
          <w:sz w:val="16"/>
        </w:rPr>
        <w:t>#    Certain confidential information contained in this exhibit has been omitted because it is both (i) not material; and (ii) the type that the registrants treat as private or confidential.</w:t>
      </w:r>
    </w:p>
    <w:p>
      <w:pPr>
        <w:pStyle w:val="TextBody"/>
        <w:bidi w:val="0"/>
        <w:spacing w:lineRule="auto" w:line="288" w:before="240" w:after="283"/>
        <w:ind w:left="0" w:right="0" w:hanging="202"/>
        <w:jc w:val="both"/>
        <w:rPr/>
      </w:pPr>
      <w:r>
        <w:rPr>
          <w:color w:val="000000"/>
        </w:rPr>
        <w:t xml:space="preserve">† </w:t>
      </w:r>
      <w:r>
        <w:rPr>
          <w:rFonts w:ascii="Times New Roman;serif" w:hAnsi="Times New Roman;serif"/>
          <w:b w:val="false"/>
          <w:color w:val="000000"/>
          <w:sz w:val="16"/>
        </w:rPr>
        <w:t>These certifications furnished in Exhibits 32.1 and 32.2 hereto are deemed to accompany this Annual Report on Form 10-K and are not deemed “filed” for purposes of Section 18 of the Exchange Act, or otherwise subject to the liability of that section, nor shall they be deemed incorporated by reference into any filing under the Securities Act or the Exchange Act.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474345"/>
                <wp:effectExtent l="0" t="0" r="0" b="0"/>
                <wp:wrapNone/>
                <wp:docPr id="139" name="Frame135"/>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lineRule="auto" w:line="288" w:before="0" w:after="240"/>
        <w:jc w:val="left"/>
        <w:rPr/>
      </w:pPr>
      <w:hyperlink w:anchor="ib8d4c0322044448ab394c86998693fbc_7">
        <w:r>
          <w:rPr>
            <w:rStyle w:val="InternetLink"/>
            <w:rFonts w:ascii="Times New Roman;serif" w:hAnsi="Times New Roman;serif"/>
            <w:b/>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3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SIGNATURES </w:t>
      </w:r>
    </w:p>
    <w:p>
      <w:pPr>
        <w:pStyle w:val="TextBody"/>
        <w:bidi w:val="0"/>
        <w:spacing w:lineRule="auto" w:line="288" w:before="0" w:after="24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Section 13 or 15(d) of the Securities Exchange Act of 1934, the registrant has duly caused this report to be signed on its behalf by the undersigned, thereunto duly authorized.</w:t>
      </w:r>
    </w:p>
    <w:tbl>
      <w:tblPr>
        <w:tblW w:w="4742" w:type="dxa"/>
        <w:jc w:val="left"/>
        <w:tblInd w:w="0" w:type="dxa"/>
        <w:tblLayout w:type="fixed"/>
        <w:tblCellMar>
          <w:top w:w="28" w:type="dxa"/>
          <w:left w:w="28" w:type="dxa"/>
          <w:bottom w:w="28" w:type="dxa"/>
          <w:right w:w="28" w:type="dxa"/>
        </w:tblCellMar>
      </w:tblPr>
      <w:tblGrid>
        <w:gridCol w:w="683"/>
        <w:gridCol w:w="601"/>
        <w:gridCol w:w="605"/>
        <w:gridCol w:w="261"/>
        <w:gridCol w:w="261"/>
        <w:gridCol w:w="261"/>
        <w:gridCol w:w="603"/>
        <w:gridCol w:w="603"/>
        <w:gridCol w:w="864"/>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11, 2026</w:t>
            </w:r>
          </w:p>
        </w:tc>
        <w:tc>
          <w:tcPr>
            <w:tcW w:w="285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KODIAK AI, INC.</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Donald Burnette</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Donald Burnette</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lineRule="auto" w:line="288" w:before="0" w:after="240"/>
        <w:ind w:left="0" w:right="0" w:firstLine="49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constitutes and appoints Donald Burnette and Surajit Datta, and each of them, as his or her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this Annual Report on Form 10-K has been signed by the following persons in the capacities and on the dates indicated:</w:t>
      </w:r>
    </w:p>
    <w:tbl>
      <w:tblPr>
        <w:tblW w:w="7927" w:type="dxa"/>
        <w:jc w:val="left"/>
        <w:tblInd w:w="0" w:type="dxa"/>
        <w:tblLayout w:type="fixed"/>
        <w:tblCellMar>
          <w:top w:w="28" w:type="dxa"/>
          <w:left w:w="28" w:type="dxa"/>
          <w:bottom w:w="28" w:type="dxa"/>
          <w:right w:w="28" w:type="dxa"/>
        </w:tblCellMar>
      </w:tblPr>
      <w:tblGrid>
        <w:gridCol w:w="766"/>
        <w:gridCol w:w="673"/>
        <w:gridCol w:w="676"/>
        <w:gridCol w:w="109"/>
        <w:gridCol w:w="109"/>
        <w:gridCol w:w="109"/>
        <w:gridCol w:w="1234"/>
        <w:gridCol w:w="1234"/>
        <w:gridCol w:w="1251"/>
        <w:gridCol w:w="109"/>
        <w:gridCol w:w="109"/>
        <w:gridCol w:w="109"/>
        <w:gridCol w:w="420"/>
        <w:gridCol w:w="420"/>
        <w:gridCol w:w="599"/>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2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Donald Burnette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11,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Donald Burnette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Surajit Datta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11,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Surajit Datta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Mohamed Elshenawy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11,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Mohamed Elshenawy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Kenneth Goldman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11,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Kenneth Goldman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James Reed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11,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James Reed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Allyson Satin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11,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Allyson Satin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Kristin Sverchek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11,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Kristin Sverchek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Scott Tobin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11, 2026</w:t>
            </w:r>
          </w:p>
        </w:tc>
      </w:tr>
      <w:tr>
        <w:trPr/>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Scott Tobin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4.7</w:t>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474345"/>
                <wp:effectExtent l="0" t="0" r="0" b="0"/>
                <wp:wrapNone/>
                <wp:docPr id="140" name="Frame136"/>
                <a:graphic xmlns:a="http://schemas.openxmlformats.org/drawingml/2006/main">
                  <a:graphicData uri="http://schemas.microsoft.com/office/word/2010/wordprocessingShape">
                    <wps:wsp>
                      <wps:cNvSpPr txBox="1"/>
                      <wps:spPr>
                        <a:xfrm>
                          <a:off x="0" y="0"/>
                          <a:ext cx="6480175" cy="474345"/>
                        </a:xfrm>
                        <a:prstGeom prst="rect"/>
                        <a:solidFill>
                          <a:srgbClr val="FFFFFF"/>
                        </a:solidFill>
                      </wps:spPr>
                      <wps:txb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3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DESCRIPTION OF CAPITAL STOCK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description of the capital stock of Kodiak AI, Inc. (“us,” “our,” “we,” “Kodiak,” or the “Company”) is a summary of the rights of our common stock and our preferred stock, as specified in our certificate of incorporation (“Certificate of Incorporation”), the Certificate of Designation of Preferences, Rights and Limitations of 9.99% Series A Cumulative Convertible Preferred Stock (the “Certificate of Designation for the Series A Preferred Stock”), and our bylaws (the “Bylaws”). This summary does not purport to be complete and is qualified in its entirety by the provisions of our Certificate of Incorporation, Certificate of Designation for the Series A Preferred Stock, and Bylaws, each previously filed with the Securities and Exchange Commission and incorporated by reference as an exhibit to our Annual Report on Form 10-K, as well as to the applicable provisions of the Delaware General Corporation Law (the “DGCL”). We encourage you to read our Certificate of Incorporation, Certificate of Designation for the Series A Preferred Stock, Bylaws, and the applicable provisions of the DGCL carefully.</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General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authorized capital stock of Kodiak consists of 2,000,000,000 shares, $0.0001 par value per share, of which: </w:t>
      </w:r>
    </w:p>
    <w:p>
      <w:pPr>
        <w:pStyle w:val="TextBody"/>
        <w:bidi w:val="0"/>
        <w:spacing w:lineRule="auto" w:line="288" w:before="0" w:after="0"/>
        <w:jc w:val="left"/>
        <w:rPr>
          <w:color w:val="000000"/>
        </w:rPr>
      </w:pPr>
      <w:r>
        <w:rPr>
          <w:color w:val="000000"/>
        </w:rPr>
        <w:t> </w:t>
      </w:r>
    </w:p>
    <w:tbl>
      <w:tblPr>
        <w:tblW w:w="605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479"/>
        <w:gridCol w:w="1479"/>
        <w:gridCol w:w="20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1,980,000,000 shares are designated as Common Stock; and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20,000,000 shares are designated as Preferred Stock. </w:t>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Common Stock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Certificate of Incorporation authorizes the Common Stock. The material terms of our Common Stock are discussed in greater detail below.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Dividend Rights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applicable law and the rights and preferences of any holders of any outstanding series of Preferred Stock, including those described in the Certificate of Designation for the Series A Preferred Stock, or any class or series of stock having a preference over or the right to participate with the Common Stock with respect to the payment of dividends, holders of Common Stock, as such, shall be entitled to the payment of dividends on the Common Stock when, as and if declared by our board of directors (“Board”) in accordance with applicable law.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payment of future dividends on the shares of Common Stock will depend on the financial condition of Kodiak and be subject to the discretion of our Board. There can be no guarantee that cash dividends will be declared. The ability of Kodiak to declare dividends may be limited by the terms and conditions of other financing and other agreements entered into by Kodiak or any of its subsidiaries from time to time.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Voting Rights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Each holder of Common Stock is entitled to one vote for each share of Common Stock held of record in person, virtually or by proxy on all matters submitted to a vote of the holders of Common Stock, whether voting separately as a class or otherwise. Our Certificate of Incorporation provides that our Board acting pursuant to a resolution adopted by a majority of the directors then serving on our Board and the affirmative vote of at least two-thirds of the voting power of the then outstanding voting securities of Kodiak entitled to vote thereon, voting together as a single class, shall be required for the amendment, repeal or modification of certain provisions of our Certificate of Incorporation.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Right to Receive Liquidation Distributions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of liquidation, dissolution or winding up of the affairs of Kodiak, whether voluntary or involuntary, after payment or provision for payment of the debts and other liabilities of Kodiak and after making </w:t>
      </w:r>
    </w:p>
    <w:p>
      <w:pPr>
        <w:pStyle w:val="TextBody"/>
        <w:bidi w:val="0"/>
        <w:spacing w:before="0" w:after="0"/>
        <w:jc w:val="righ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41"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provisions for preferential and other amounts, if any, to which the holders of Preferred Stock or any class or series of stock having a preference over or the right to participate with the Common Stock with respect to payments in liquidation shall be entitled, the remaining assets and funds of Kodiak available for distribution shall be divided among and paid ratably to the holders of all outstanding shares of Common Stock in proportion to the number of shares held by each such stockholder.</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Other Matters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All outstanding shares of our Common Stock are fully paid and nonassessable. The holders of Common Stock have no pre-emptive or conversion rights or other subscription rights. There are no redemption or sinking fund provisions applicable to the Common Stock. The rights and powers of holders of the Common Stock are subject to those of the holders of any shares of Series A Preferred Stock.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Preferred Stock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is authorized, subject to limitations prescribed by the DGCL,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is empowered to increase or decrease the number of shares of any series of Preferred Stock, but not below the number of shares of that series then outstanding, without any further vote or action by our stockholders. Our Board is able to authorize the issuance of preferred stock with voting or conversion rights that could adversely affect the voting power or other rights of the holders of Common Stock. The issuance of Preferred Stock, while providing flexibility in connection with possible acquisitions and other corporate purposes, could, among other things, have the effect of delaying, deferring, or preventing a change in control of Kodiak and might adversely affect the market price of our Common Stock and the voting and other rights of the holders of our Common Stock.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has authorized for issuance 142,155 shares of Series A Preferred Stock. Our Series A Preferred Stock has the rights, preferences and privileges set forth in the Certificate of Designation for the Series A Preferred Stock. The material terms of our Series A Preferred Stock are discussed in greater detail below.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Stated Value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Stated Value of the Series A Preferred Stock is $1,200.00, subject to adjustment to preserve such value for stock splits, stock dividends, recapitalizations, reorganizations, reclassifications, combinations, reverse stock splits or other similar events relating to the Series A Preferred Stock.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Dividend Rights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Series A Preferred Stock accrues dividends daily at the rate of 9.99% per annum of the Accrued Value (as defined below) (if paid in kind), plus the amount of previously accrued dividends paid in kind, or 7.99% per annum of the Accrued Value (if paid in cash), plus the amount of previously accrued dividends paid in kind. Such dividends compound semi-annually. Accrued Value means, as of any date, with respect to each share of Series A Preferred Stock, the sum, subject to appropriate adjustment in the event of any stock dividend, stock split, combination or other similar recapitalization with respect to the Series A Preferred Stock, of: (i) the Stated Value of the Series A Preferred Stock; plus (ii) all dividends paid in kind by increasing the Accrued Value of such share. We elected to pay the December 2025 accrued dividends on the Series A Preferred Stock in kind, which resulted in the Accrued Value of the Series A Preferred Stock increasing from $1,200.00 to $1,222.66.</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Right to Liquidation Distributions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Upon any liquidation or deemed liquidation event, the holders of Series A Preferred Stock will be entitled to receive out of the available proceeds, before any distribution is made to holders of Common Stock or any other junior securities, an amount per share equal to the greater of (i) (x) 100% of the Accrued Value on each share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42"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Series A Preferred Stock, plus (y) the accrued but unpaid or uncompounded portion of the accrued dividend since the most recent semi-annual dividend date; or (ii) such amount per share as would have been payable had all shares of the Series A Preferred Stock been converted into Common Stock immediately prior to the liquidation event.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Protective Provisions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shall not, without the affirmative vote or action by written consent of holders of more than 50% of the issued and outstanding shares of the Series A Preferred Stock, take any of the following actions: (i) liquidate, dissolve or wind up our affairs; (ii) amend, alter, or repeal any provision of the certificate of incorporation, bylaws, or Certificate of Designation for the Series A Preferred Stock in a manner adverse to the Series A Preferred Stock; (iii) create or authorize the creation of or issue any other security convertible into or exercisable for any equity security unless such security ranks junior to the Series A Preferred Stock with respect to its rights, preferences and privileges, or increase the authorized number of shares of the Series A Preferred Stock; or (iv) purchase or redeem or pay any cash dividend on any capital stock ranking junior to the Series A Preferred Stock prior to payment of such cash dividend on the Series A Preferred Stock or purchase or redeem any capital stock ranking junior to the Series A Preferred Stock, other than stock repurchased at cost from former employees and consultants in connection with the cessation of their service.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Conversion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Each share of the Series A Preferred Stock is convertible into Common Stock at any time at the option of the holder at a rate equal to the Accrued Value, divided by the then-applicable conversion price, plus any accrued but unpaid dividends on such share. The conversion price is initially $12.00, subject to adjustments for stock dividends, splits, combinations and similar events and customary anti-dilution adjustments, including with respect to certain future issuances or sales of Common Stock at prices less than the conversion price then in effect. In addition, if the trailing 45-day volume-weighted average price of Common Stock on May 29, 2026 is less than the conversion price then in effect, the conversion price will be adjusted to the greater of (i) such volume weighted average price and (ii) $8.00. Further, if the trailing 45-day volume-weighted average price of Common Stock on August 28, 2026 is less than the conversion price then in effect, the conversion price will be adjusted to the greater of (i) such volume weighted average price and (ii) $6.00.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Redemption Rights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Unless prohibited by applicable law governing distributions to stockholders, the Series A Preferred Stock owned by a requesting Holder (as defined in the Certificate of Designation for the Series A Preferred Stock) shall be redeemable at the option of the Holder commencing any time after September 24, 2030 at a price equal to the Accrued Value plus accrued and unpaid dividends on such shares.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Unless prohibited by applicable law governing distributions to stockholders, the Series A Preferred Stock shall be redeemable at our option commencing any time (i) prior to September 24, 2026 at a price equal to the 150% of the Accrued Value plus accrued and unpaid dividends on such share; (ii) on or after September 24, 2026 but prior to September 24, 2027 at a price equal to the 140% of the Accrued Value plus accrued and unpaid dividends on such share; (iii) on or after September 24, 2027 but prior to September 24, 2028 at a price equal to the 130% of the Accrued Value plus accrued and unpaid dividends on such share; (iv) on or after September 24, 2028 but prior to September 24, 2029 at a price equal to the 120% of the Accrued Value plus accrued and unpaid dividends on such share; (v) on or after September 24, 2029 but prior to September 24, 2030 at a price equal to the 110% of the Accrued Value plus accrued and unpaid dividends on such share; or (vi) on or after September 24, 2030 at a price equal to the 100% of the Accrued Value plus accrued and unpaid dividends on such share. </w:t>
      </w:r>
    </w:p>
    <w:p>
      <w:pPr>
        <w:pStyle w:val="TextBody"/>
        <w:bidi w:val="0"/>
        <w:spacing w:before="0" w:after="0"/>
        <w:jc w:val="righ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43"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Anti-Takeover Provisions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provisions of our Certificate of Incorporation, Bylaws and the DGCL summarized below may have an anti-takeover effect and may delay, defer or prevent a tender offer or takeover attempt that you might consider in your best interest, including an attempt that might result in your receipt of a premium over the market price for your shares of Common Stock.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Certificate of Incorporation and Bylaws contain certain provisions that are intended to enhance the likelihood of continuity and stability in the composition of our Board and that may have the effect of delaying, deferring or preventing a future takeover or change in control of us unless such takeover or change in control is approved by our Board.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These provisions include the following items.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i/>
                <w:color w:val="000000"/>
                <w:sz w:val="20"/>
              </w:rPr>
              <w:t>Authorized but unissued capital stock</w:t>
            </w:r>
            <w:r>
              <w:rPr>
                <w:rFonts w:ascii="Times New Roman;serif" w:hAnsi="Times New Roman;serif"/>
                <w:b w:val="false"/>
                <w:color w:val="000000"/>
                <w:sz w:val="20"/>
              </w:rPr>
              <w:t xml:space="preserve">. Subject to applicable law and applicable Stock Exchange requirements, the authorized but unissued shares of Common Stock and Preferred Stock will be available for 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the voting power of our capital stock by means of a proxy contest, tender offer, merger or otherwise. </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i/>
                <w:color w:val="000000"/>
                <w:sz w:val="20"/>
              </w:rPr>
              <w:t>Classes of directors</w:t>
            </w:r>
            <w:r>
              <w:rPr>
                <w:rFonts w:ascii="Times New Roman;serif" w:hAnsi="Times New Roman;serif"/>
                <w:b w:val="false"/>
                <w:color w:val="000000"/>
                <w:sz w:val="20"/>
              </w:rPr>
              <w:t xml:space="preserve">. Pursuant to our Certificate of Incorporation, our Board (other than any director who may be elected under specified circumstances) are divided into three classes as nearly equal in size as is practicable, designated as Class I, Class II and Class III. The term of the initial Class I directors will terminate on the date of the first annual meeting of stockholders following September 24, 2025 (the “Closing”), the term of the initial Class II directors will terminate on the date of the second annual meeting of stockholders following the Closing, and the term of the initial Class III directors will terminate on the date of the third annual meeting of stockholders following the Closing. At each annual meeting of stockholders, successors to the class of directors whose term expires at that annual meeting will be elected for a three-year term. The existence of a classified board of directors could discourage a third party from making a tender offer or otherwise attempting to obtain control of Kodiak as it is more difficult and time consuming for stockholders to replace a majority of the directors on a classified board of directors. </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i/>
                <w:color w:val="000000"/>
                <w:sz w:val="20"/>
              </w:rPr>
              <w:t>Board vacancies; removal of directors</w:t>
            </w:r>
            <w:r>
              <w:rPr>
                <w:rFonts w:ascii="Times New Roman;serif" w:hAnsi="Times New Roman;serif"/>
                <w:b w:val="false"/>
                <w:color w:val="000000"/>
                <w:sz w:val="20"/>
              </w:rPr>
              <w:t xml:space="preserve">. Subject to the rights of holders of Preferred Stock and except as otherwise authorized by our Board acting pursuant to a resolution adopted by a majority of the directors then serving on our Board, our Certificate of Incorporation and Bylaws authorize only a majority of the remaining members of our Board, although less than a quorum, to fill vacant or unfilled directorships, including newly created seats. In addition, subject to the rights of holders of any series of Preferred Stock, the number of directors constituting our Board will be permitted to be set only by a resolution of our Board acting pursuant to a resolution adopted by a majority of the directors then serving on our Board. These provisions would prevent a stockholder from gaining control of our Board by filling vacancies or increasing the size of our Board and filling the resulting newly created seats with its own nominees. In addition, our Certificate of Incorporation provides that, subject to the rights of holders of Preferred Stock, any director or our entire Board may be removed from office at any time, but only for cause, and only by the affirmative vote of the holders of at least a majority of the voting power of our issued and outstanding capital stock entitled to vote in the election of directors, voting as a single class. These provisions will make it more difficult to change the composition of our Board and may promote continuity of management. </w:t>
            </w:r>
          </w:p>
        </w:tc>
      </w:tr>
    </w:tbl>
    <w:p>
      <w:pPr>
        <w:pStyle w:val="TextBody"/>
        <w:bidi w:val="0"/>
        <w:spacing w:lineRule="auto" w:line="288"/>
        <w:jc w:val="left"/>
        <w:rPr>
          <w:color w:val="000000"/>
        </w:rPr>
      </w:pPr>
      <w:r>
        <w:rPr>
          <w:color w:val="000000"/>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44"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i/>
                <w:color w:val="000000"/>
                <w:sz w:val="20"/>
              </w:rPr>
              <w:t>No cumulative voting for directors</w:t>
            </w:r>
            <w:r>
              <w:rPr>
                <w:rFonts w:ascii="Times New Roman;serif" w:hAnsi="Times New Roman;serif"/>
                <w:b w:val="false"/>
                <w:color w:val="000000"/>
                <w:sz w:val="20"/>
              </w:rPr>
              <w:t>. The DGCL provides that stockholders are not entitled to cumulate votes in the election of directors unless a corporation’s certificate of incorporation provides otherwise. Our Certificate of Incorporation provides that no stockholder will be permitted to cumulate votes at any election of directors. Without cumulative voting, a minority stockholder may not be able to gain as many seats on our Board as the stockholder would be able to gain if cumulative voting were permitted. The absence of cumulative voting makes it more difficult for a minority stockholder to gain a seat on our Board to influence any decision by our Board regarding a takeover.</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89"/>
        <w:gridCol w:w="2689"/>
        <w:gridCol w:w="38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i/>
                <w:color w:val="000000"/>
                <w:sz w:val="20"/>
              </w:rPr>
              <w:t>Quorum</w:t>
            </w:r>
            <w:r>
              <w:rPr>
                <w:rFonts w:ascii="Times New Roman;serif" w:hAnsi="Times New Roman;serif"/>
                <w:b w:val="false"/>
                <w:color w:val="000000"/>
                <w:sz w:val="20"/>
              </w:rPr>
              <w:t xml:space="preserve">. Our Bylaws provide that at any meeting of our Board, a majority of the total authorized number of directors is required to constitute a quorum for the transaction of business. </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i/>
                <w:color w:val="000000"/>
                <w:sz w:val="20"/>
              </w:rPr>
              <w:t>Stockholder action by written consent</w:t>
            </w:r>
            <w:r>
              <w:rPr>
                <w:rFonts w:ascii="Times New Roman;serif" w:hAnsi="Times New Roman;serif"/>
                <w:b w:val="false"/>
                <w:color w:val="000000"/>
                <w:sz w:val="20"/>
              </w:rPr>
              <w:t xml:space="preserve">. Our Certificate of Incorporation and Bylaws provide that, subject to the rights of holders of Preferred Stock, our stockholders may not take action by written consent but may only take action at annual or special meetings of the stockholders. As a result, a holder of a majority of the voting power of our capital stock would not be able to amend our Bylaws, amend our Certificate of Incorporation or remove directors without holding a meeting of our stockholders called in accordance with our Certificate of Incorporation and Bylaws. </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i/>
                <w:color w:val="000000"/>
                <w:sz w:val="20"/>
              </w:rPr>
              <w:t>Special meetings of stockholders</w:t>
            </w:r>
            <w:r>
              <w:rPr>
                <w:rFonts w:ascii="Times New Roman;serif" w:hAnsi="Times New Roman;serif"/>
                <w:b w:val="false"/>
                <w:color w:val="000000"/>
                <w:sz w:val="20"/>
              </w:rPr>
              <w:t xml:space="preserve">. Subject to the terms of any series of Preferred Stock, special meetings of our stockholders may be called, for any purpose or purposes, at any time only by the chairperson of our Board, the CEO, the president, or our Board acting pursuant to a resolution adopted by a majority of the directors then serving on our Board. Special meetings of the stockholders may not be called by our stockholders or any other person. </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i/>
                <w:color w:val="000000"/>
                <w:sz w:val="20"/>
              </w:rPr>
              <w:t>Advance notice procedures</w:t>
            </w:r>
            <w:r>
              <w:rPr>
                <w:rFonts w:ascii="Times New Roman;serif" w:hAnsi="Times New Roman;serif"/>
                <w:b w:val="false"/>
                <w:color w:val="000000"/>
                <w:sz w:val="20"/>
              </w:rPr>
              <w:t xml:space="preserve">. Our Bylaws provide advance notice procedures for stockholders seeking to bring business before the annual meeting of stockholders or to nominate candidates for election as directors at the annual meeting of stockholders or any special meeting of stockholders. Our Bylaws also specify certain requirements regarding the form and content of a stockholder’s notice. These provisions might preclude stockholders of Kodiak from bringing matters before the annual meeting of stockholders or from making nominations for directors at the annual meeting of stockholders or any special meeting of stockholders if the proper procedures are not followed. These provisions may also discourage or deter a potential acquirer from conducting a solicitation of proxies to elect the acquirer’s own slate of directors or otherwise attempting to obtain control of Kodiak. </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i/>
                <w:color w:val="000000"/>
                <w:sz w:val="20"/>
              </w:rPr>
              <w:t>Exclusive forum</w:t>
            </w:r>
            <w:r>
              <w:rPr>
                <w:rFonts w:ascii="Times New Roman;serif" w:hAnsi="Times New Roman;serif"/>
                <w:b w:val="false"/>
                <w:color w:val="000000"/>
                <w:sz w:val="20"/>
              </w:rPr>
              <w:t xml:space="preserve">. Our Bylaws provide that, unless otherwise consented to by us in writing, the Court of Chancery of the State of Delaware (or, if the Court of Chancery does not have jurisdiction, another State court in Delaware or the federal district court for the District of Delaware) shall, to the fullest extent permitted by law, be the sole and exclusive forum for the following types of actions, suits or proceedings: (i) any derivative action, suit or proceeding brought on our behalf; (ii) any action, suit or proceeding asserting a claim of breach of a fiduciary duty owed by any of our directors, stockholders, officers, or other employees to us or our stockholders; (iii) any action, suit or proceeding arising pursuant to any provision of the DGCL or our Certificate of Incorporation or Bylaws; or (iv) any other action, suit or proceeding asserting a claim that is governed by the internal affairs doctrine, in all cases subject to the court having jurisdiction over indispensable parties as determined by such court. This provision would not apply to suits brought to enforce a duty or liability created by the Exchange Act or any other claim for which the U.S. federal courts have exclusive jurisdiction. Our Bylaws further provide that the federal district courts of the U.S. will be the sole and exclusive forum for the resolution of any complaint asserting a cause or causes of action arising under the Securities Act of 1933, as amended (the “Securities Act”). These provisions may have the effect of discouraging lawsuits against us or our directors and officers. </w:t>
            </w:r>
          </w:p>
        </w:tc>
      </w:tr>
    </w:tbl>
    <w:p>
      <w:pPr>
        <w:pStyle w:val="TextBody"/>
        <w:bidi w:val="0"/>
        <w:spacing w:lineRule="auto" w:line="288"/>
        <w:jc w:val="left"/>
        <w:rPr>
          <w:color w:val="000000"/>
        </w:rPr>
      </w:pPr>
      <w:r>
        <w:rPr>
          <w:color w:val="000000"/>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45"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i/>
                <w:color w:val="000000"/>
                <w:sz w:val="20"/>
              </w:rPr>
              <w:t>Amendment of charter and bylaws provisions</w:t>
            </w:r>
            <w:r>
              <w:rPr>
                <w:rFonts w:ascii="Times New Roman;serif" w:hAnsi="Times New Roman;serif"/>
                <w:b w:val="false"/>
                <w:color w:val="000000"/>
                <w:sz w:val="20"/>
              </w:rPr>
              <w:t>. In addition to the vote of any holders of any class or series of our capital stock required by law or by our Certificate of Incorporation, our Board acting pursuant to a resolution adopted by a majority of all of the directors then serving on our Board and the affirmative vote of 66 2/3% of the voting power of our then outstanding voting securities entitled to vote thereon, voting together as a single class, will be required to amend, repeal or modify provisions of Section 3 of Article IV, Article V, Article VI, Article VII, Article VIII, Article XI or Article XII of our Certificate of Incorporation. In addition, our Bylaws require the affirmative vote of at least a majority of the total voting power of our outstanding voting securities, voting together as a single class, for the stockholders to adopt, alter, amend or repeal our Bylaws, provided the affirmative vote of at least two-thirds of the total voting power of our outstanding voting securities, voting together as a single class, will be required for our stockholders to alter, amend or repeal, or adopt any bylaw inconsistent with, certain provisions of our Bylaws.</w:t>
            </w:r>
          </w:p>
        </w:tc>
      </w:tr>
    </w:tbl>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Corporate Opportunities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Certificate of Incorporation, to the fullest extent permitted by law and subject to certain exceptions, in the event that Ares Acquisition Holdings II LP (the "SPAC Sponsor"), certain affiliates or funds associated with the SPAC Sponsor or our non-employee directors and their respective affiliates acquire knowledge of a potential transaction or other business opportunity that may be a corporate opportunity for itself, herself or himself and Kodiak or any of our affiliates, they will have no duty to communicate or offer such transaction or other business opportunity to Kodiak or any of our affiliates and will not be liable to us or our stockholders or to any of our affiliates for breach of any fiduciary duty as a stockholder, director or officer of Kodiak solely by reason of the fact that they pursue or acquire such corporate opportunity for themselves, offer or direct such corporate opportunity to another person, or do not communicate information regarding such corporate opportunity to Kodiak or any of our affiliates.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Delaware Antitakeover Statute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are governed by the provisions of Section 203 of the DGCL. In general, Section 203 prohibits a publicly-held Delaware corporation from engaging in a “business combination” with an “interested stockholder” for a period of three years after the date of the transaction in which the person became an interested stockholder, unless: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prior to such time the board of directors of the corporation approved either the business combination or the transaction which resulted in the stockholder becoming an interested stockholder; </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of the corporation outstanding (but not the outstanding voting stock owned by the interested stockholder) shares owned by directors who are also officers of the corporation and shares owned by employee stock plans in which employee participants do not have the right to determine confidentially whether shares held subject to the plan will be tendered in a tender or exchange offer; or </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 </w:t>
            </w:r>
          </w:p>
        </w:tc>
      </w:tr>
    </w:tbl>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general, Section 203 defines a “business combination” to include mergers, asset sales and other transactions resulting in financial benefit to a stockholder and an “interested stockholder” as a person who, together with its affiliates and associates, owns, or within three years did own, 15% or more of the corporation’s outstanding voting stock. These provisions may have the effect of delaying, deferring or preventing changes in control of Kodiak.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Transfer Agent and Registrar </w:t>
      </w:r>
    </w:p>
    <w:p>
      <w:pPr>
        <w:pStyle w:val="TextBody"/>
        <w:bidi w:val="0"/>
        <w:spacing w:before="0" w:after="0"/>
        <w:jc w:val="righ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46"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transfer agent and registrar for our Common Stock is Continental Stock Transfer &amp; Trust Company, located at 1 State Street, 30 Floor, New York, New York 10004.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Listing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and Public Warrants trade on Nasdaq under the symbols “KDK” and “KDKRW,” respectively.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Warrants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 2026, there were 24,604,343 Public Warrants, 17,769,375 PIPE Warrants, 14,300,000 Private Placement Warrants, 7,606,666 Non-Redemption Agreement Warrants and Assumed Kodiak Warrants to purchase 558,559 shares of Common Stock outstanding.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Public Warrants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Each Public Warrant entitles the registered holder to purchase one share of Common Stock at a price of $9.28 per share, subject to adjustment as discussed below, except as discussed in the immediately succeeding paragraph. Pursuant to the Warrant Agreement, dated as of April 20, 2023, by and between Ares Acquisition Corporation II (“AACT”) and Continental Stock Transfer &amp; Trust Company, as warrant agent (the “Warrant Agreement”), a warrant holder may exercise its Public Warrants only for a whole number of shares of Common Stock. No fractional warrants may be issued and only whole warrants may trade. The warrants will expire on September 24, 2030, at 5:00 p.m., New York City time, or earlier upon redemption or liquidation.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will not be obligated to deliver any shares of Common Stock pursuant to the exercise of a Public Warrant and will have no obligation to settle such warrant exercise unless a registration statement under the Securities Act with respect to the shares of Common Stock underlying the Public Warrants is then effective and a prospectus relating thereto is current, subject to our satisfying our obligations described below with respect to registration or a valid exemption from registration is available. No Public Warrant will be exercisable and we will not be obligated to issue a share of Common Stock upon exercise of a Public Warrant unless the shares of Common Stock issuable upon such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Public Warrant, the holder of such warrant will not be entitled to exercise such warrant and such warrant may have no value and expire worthless. In no event will we be required to net cash settle any Public Warrant.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have filed with the SEC a registration statement for the registration, under the Securities Act, of the shares of Common Stock issuable upon exercise of the Public Warrants, and we will use our commercially reasonable efforts to maintain the effectiveness of such registration statement and a current prospectus relating to those shares of Common Stock until the Public Warrants expire or are redeemed, as specified in the Warrant Agreement. Warrant holders may, during any period when we will have failed to maintain an effective registration statement, exercise warrants on a “cashless basis” by exchanging such warrants in accordance with Section 3(a)(9) of the Securities Act or another exemption. In such event, each holder would pay the exercise price by surrendering the warrants for that number of shares of Common Stock equal to the quotient obtained by dividing (x) the product of the number of shares of Common Stock underlying the warrants, multiplied by the excess of the “fair market value” (as defined below) of a share of Common Stock less the exercise price of the warrants by (y) the fair market value of a share of Common Stock. The “fair market value” as used in this paragraph means the average reported last sale price of the Common Stock for the 10 trading days ending on the third trading day prior to the date on which the notice of exercise is received by the warrant agent. Notwithstanding the above, if the Common Stock is at the time of any exercise of a warrant not listed on a national securities exchange such that they satisfy the definition of a “covered security” under Section 18(b)(1) of the Securities Act, we may, at our option, require holders of Public Warrant who exercise their warrants to do so on a “cashless basis” in accordance with Section 3(a)(9) of the Securities Act and, in the event we so elect, we will not be required to file or maintain in effect a registration statement, but we will use our </w:t>
      </w:r>
    </w:p>
    <w:p>
      <w:pPr>
        <w:pStyle w:val="TextBody"/>
        <w:bidi w:val="0"/>
        <w:spacing w:before="0" w:after="0"/>
        <w:jc w:val="righ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47"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commercially reasonably efforts to register or qualify for sale the Common Stock issuable upon exercise of the warrants under applicable blue sky laws to the extent an exemption is not available. </w:t>
      </w:r>
    </w:p>
    <w:p>
      <w:pPr>
        <w:pStyle w:val="TextBody"/>
        <w:bidi w:val="0"/>
        <w:spacing w:lineRule="auto" w:line="288" w:before="240" w:after="283"/>
        <w:ind w:left="0" w:right="0" w:firstLine="490"/>
        <w:jc w:val="left"/>
        <w:rPr/>
      </w:pPr>
      <w:r>
        <w:rPr>
          <w:rFonts w:ascii="Times New Roman;serif" w:hAnsi="Times New Roman;serif"/>
          <w:b w:val="false"/>
          <w:i/>
          <w:color w:val="000000"/>
          <w:sz w:val="20"/>
        </w:rPr>
        <w:t>Redemption of warrants when the price per share of Common Stock equals or exceeds $14.53.</w:t>
      </w:r>
      <w:r>
        <w:rPr>
          <w:color w:val="000000"/>
        </w:rPr>
        <w:t xml:space="preserve"> </w:t>
      </w:r>
      <w:r>
        <w:rPr>
          <w:rFonts w:ascii="Times New Roman;serif" w:hAnsi="Times New Roman;serif"/>
          <w:b w:val="false"/>
          <w:color w:val="000000"/>
          <w:sz w:val="20"/>
        </w:rPr>
        <w:t xml:space="preserve">Once the Public Warrants become exercisable and prior to their expiration, we may redeem the outstanding Public Warrants: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3479"/>
        <w:gridCol w:w="2370"/>
        <w:gridCol w:w="33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9"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33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whole and not in part;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at a price of $0.01 per warrant;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upon not less than 30-days’ prior written notice of redemption given after the warrants become exercisable to each warrant holder and prior to their expiration;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and only if, the closing price of the Common Stock equals or exceeds $14.53 per share (as adjusted for adjustments to the number of shares issuable upon exercise or the exercise price of a warrant as described under the heading “-Warrants-Public Warrants-Anti-Dilution Adjustments”) for any 20 trading days within a 30-trading day period ending on the third trading day prior to the date on which we send the notice of redemption to the warrant holders. </w:t>
            </w:r>
          </w:p>
        </w:tc>
      </w:tr>
    </w:tbl>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will not redeem the Public Warrants as described above unless such warrants are then exercisable and there is an effective registration statement covering the issuance of the Common Stock issuable upon exercise of the Public Warrants and a current prospectus relating to those shares of Common Stock is available throughout the 30-day redemption period.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 his, her or its Public Warrants prior to the scheduled redemption date. However, the price of the Common Stock may fall below the $14.53 redemption trigger price (as adjusted for adjustments to the number of shares issuable upon exercise or the exercise price of a warrant as described under the heading “</w:t>
      </w:r>
      <w:r>
        <w:rPr>
          <w:rFonts w:ascii="Times New Roman;serif" w:hAnsi="Times New Roman;serif"/>
          <w:b w:val="false"/>
          <w:i/>
          <w:color w:val="000000"/>
          <w:sz w:val="20"/>
        </w:rPr>
        <w:t>-Warrants-Public Warrants-Anti-Dilution Adjustments</w:t>
      </w:r>
      <w:r>
        <w:rPr>
          <w:color w:val="000000"/>
        </w:rPr>
        <w:t>”</w:t>
      </w:r>
      <w:r>
        <w:rPr>
          <w:rFonts w:ascii="Times New Roman;serif" w:hAnsi="Times New Roman;serif"/>
          <w:b w:val="false"/>
          <w:color w:val="000000"/>
          <w:sz w:val="20"/>
        </w:rPr>
        <w:t xml:space="preserve">) as well as the $9.28 warrant exercise price after the redemption notice is issued.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If we call the Public Warrants for redemption as described above, we will have the option to require any holder that wishes to exercise its Public Warrants to do so on a “cashless basis.” In determining whether to require all holders to exercise their Public Warrants on a “cashless basis,” we will consider, among other factors, our cash position, the number of Public Warrants that are outstanding and the dilutive effect on our shareholders of issuing the maximum number of shares of Common Stock issuable upon the exercise of the Public Warrants. If we take advantage of this option, all holders of Public Warrants would pay the exercise price by surrendering their Public Warrants for that number of shares of Common Stock equal to the quotient obtained by dividing (x) the product of the number of shares of Common Stock underlying the warrants, multiplied by the difference between the exercise price of the warrants and the “fair market value” (as defined below) of a share of Common Stock by (y) the fair market value of a share of Common Stock. The “fair market value” as used in this paragraph means the average last reported sale price of the Common Stocks for the 10 trading days ending on the third trading day immediately prior to the date on which the notice of redemption is sent to the holders of the warrants. If we take advantage of this option, the notice of redemption will contain the information necessary to calculate the number of shares of Common Stock to be received upon exercise of the Public Warrants. Requiring a cashless exercise in this manner will reduce the number of shares to be issued and thereby lessen the dilutive effect of a warrant redemption. We believe this feature is an attractive option to us if we do not need the cash from the exercise of the warrants. If we call the Public Warrants for redemption and we do not take advantage of this option, the SPAC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No fractional shares of Common Stock will be issued upon exercise of a Public Warrant. If, upon exercise, a holder would be entitled to receive a fractional interest in a share, we will round down to the nearest whole number of the number of shares of Common Stock to be issued to the holder. </w:t>
      </w:r>
    </w:p>
    <w:p>
      <w:pPr>
        <w:pStyle w:val="TextBody"/>
        <w:bidi w:val="0"/>
        <w:spacing w:before="0" w:after="0"/>
        <w:jc w:val="righ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48"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490"/>
        <w:jc w:val="left"/>
        <w:rPr/>
      </w:pPr>
      <w:r>
        <w:rPr>
          <w:rFonts w:ascii="Times New Roman;serif" w:hAnsi="Times New Roman;serif"/>
          <w:b w:val="false"/>
          <w:i/>
          <w:color w:val="000000"/>
          <w:sz w:val="20"/>
        </w:rPr>
        <w:t>Ownership limit.</w:t>
      </w:r>
      <w:r>
        <w:rPr>
          <w:color w:val="000000"/>
        </w:rPr>
        <w:t xml:space="preserve"> </w:t>
      </w:r>
      <w:r>
        <w:rPr>
          <w:rFonts w:ascii="Times New Roman;serif" w:hAnsi="Times New Roman;serif"/>
          <w:b w:val="false"/>
          <w:color w:val="000000"/>
          <w:sz w:val="20"/>
        </w:rPr>
        <w:t xml:space="preserve">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 of the Common Stock issued and outstanding immediately after giving effect to such exercise. </w:t>
      </w:r>
    </w:p>
    <w:p>
      <w:pPr>
        <w:pStyle w:val="TextBody"/>
        <w:bidi w:val="0"/>
        <w:spacing w:lineRule="auto" w:line="288" w:before="240" w:after="283"/>
        <w:ind w:left="0" w:right="0" w:firstLine="490"/>
        <w:jc w:val="left"/>
        <w:rPr/>
      </w:pPr>
      <w:r>
        <w:rPr>
          <w:rFonts w:ascii="Times New Roman;serif" w:hAnsi="Times New Roman;serif"/>
          <w:b w:val="false"/>
          <w:i/>
          <w:color w:val="000000"/>
          <w:sz w:val="20"/>
        </w:rPr>
        <w:t>Anti-dilution adjustments.</w:t>
      </w:r>
      <w:r>
        <w:rPr>
          <w:color w:val="000000"/>
        </w:rPr>
        <w:t xml:space="preserve"> </w:t>
      </w:r>
      <w:r>
        <w:rPr>
          <w:rFonts w:ascii="Times New Roman;serif" w:hAnsi="Times New Roman;serif"/>
          <w:b w:val="false"/>
          <w:color w:val="000000"/>
          <w:sz w:val="20"/>
        </w:rPr>
        <w:t xml:space="preserve">If the number of outstanding Common Stock is increased by a capitalization or share dividend payable in shares of Common Stock, or by a sub-division of shares or other similar event, then, on the effective date of such capitalization or share dividend, sub-division or similar event, the number of shares of Common Stock issuable on exercise of each Public Warrant will be increased in proportion to such increase in the outstanding Common Stock. A rights offering made to all or substantially all holders of Common Stock entitling holders to purchase Common Stock at a price less than the “historical fair market value” (as defined below) will be deemed a share capitalization of a number of shares of Common Stock equal to the product of: (i) the number of shares of Common Stock actually sold in such rights offering (or issuable under any other equity securities sold in such rights offering that are convertible into or exercisable for shares of Common Stock) and multiplied by; (ii) one minus the quotient of (A) the price per share of Common Stock paid in such rights offering divided by (B) the historical fair market value. For these purposes: (i) if the rights offering is for securities convertible into or exercisable for shares of Common Stock, in determining the price payable for shares of Common Stock, there will be taken into account any consideration received for such rights, as well as any additional amount payable upon exercise or conversion and (ii) “historical fair market value” means the volume weighted average price of the Common Stock as reported during the 10 trading day period ending on the trading day prior to the first date on which the Common Stock trade on the applicable exchange or in the applicable market, regular way, without the right to receive such rights.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if we, at any time while the Public Warrants are outstanding and unexpired, pay a dividend or make a distribution in cash, securities or other assets to the holders of Common Stock on account of such Common Stock (or other securities into which the Public Warrants are convertible), other than (i) as described in the preceding paragraph or (ii) any cash dividends or cash distributions which, when combined on a per share basis with all other cash dividends and cash distributions paid on the Common Stock during the 365-day period ending on the date of declaration of such dividend or distribution (as adjusted to appropriately reflect any other adjustments and excluding cash dividends or cash distributions that resulted in an adjustment to the exercise price or to the number of shares of Common Stock issuable on exercise of each Public Warrant) does not exceed $0.50 but only with respect to the amount of the aggregate cash dividends or cash distributions equal to or less than $0.50 per share, then the warrant exercise price will be decreased, effective immediately after the effective date of such event, by the amount of cash or the fair market value (as determined by our Board, in good faith) of any securities or other assets paid on each share of Common Stock in respect of such event.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If the number of outstanding Common Stock is decreased by a consolidation, combination, reverse share split, or reclassification of Common Stock or other similar event, then, on the effective date of such consolidation, combination, reverse share split, reclassification or similar event, the number of shares of Common Stock issuable on exercise of each Public Warrant will be decreased in proportion to such decrease in outstanding Common Stock.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Whenever the number of shares of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Public Warrants immediately prior to such adjustment and (y) the denominator of which will be the number of shares of Common Stock so purchasable immediately thereafter.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case of any reclassification or reorganization of the outstanding shares of Common Stock (other than those described above or that solely affects the par value of such shares of Common Stock), or in the case of any merger or consolidation of us with or into another entity or conversion as another entity (other than a consolidation or merger in which we are the continuing corporation and that does not result in any reclassification or reorganization of our outstanding Common Stock), or in the case of any sale or conveyance to another entity of our assets or other property as an entirety or substantially as an entirety in connection with which we are dissolved, the holders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49"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Public Warrants will thereafter have the right to purchase and receive, upon the basis and upon the terms and conditions specified in the warrants and in lieu of the Common Stock immediately theretofore purchasable and receivable upon the exercise of the rights represented thereby, the kind and amount of Common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warrants immediately prior to such event.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Public Warrants have been issued in registered form under the Warrant Agreement. The Warrant Agreement provides that the terms of the warrants may be amended without the consent of any holder for the purpose of curing any ambiguity or curing, correcting or supplementing any defective provision contained therein, including to conform the provisions of the Warrant Agreement to the description of the terms of the warrants and the Warrant Agreement set forth in the prospectus for the initial public offering of AACT or adding or changing any provisions with respect to matters or questions arising under the Warrant Agreement as the parties to the Warrant Agreement may deem necessary or desirable and that the parties deem to not adversely affect the interests of the registered holders of the warrants, provided that the approval by the holders of at least a majority of the then-outstanding Public Warrants is required to make any change that adversely affects the interests of the registered holders of Public Warrants. You should review a copy of the Warrant Agreement, which is filed as an exhibit to the Annual Report on 10-K, for a complete description of the terms and conditions applicable to the warrants.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warrant holders do not have the rights or privileges of holders of Common Stock and any voting rights until they exercise their warrants and receive shares of Common Stock. After the issuance of Common Stock upon exercise of the Public Warrants, each holder will be entitled to one vote for each share held of record on all matters to be voted on by stockholders.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have agreed that, subject to applicable law, any action, proceeding or claim against us arising out of or relating in any way to the Warrant Agreement will be brought and enforced in the courts of the State of New York or the U.S.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U.S. are the sole and exclusive forum.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Private Placement Warrants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Private Placement Warrants have terms and provisions that are identical to those of the Public Warrants, except that the Private Placement Warrants: (i) may be exercised for cash or on a “cashless basis” as described below; (ii) may not be transferred, assigned or sold until thirty (30) days after September 24, 2025, except to certain permitted transferees; and (iii) will not be redeemable by Kodiak. Any amendment to the terms of the Private Placement Warrants or any provision of the Warrant Agreement with respect to the Private Placement Warrants will require a vote of holders of at least a majority of the number of the then outstanding Private Placement Warrants.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If holders of the Private Placement Warrants elect to exercise them on a cashless basis, they would pay the exercise price by surrendering his, her or its warrants for that number of shares of Common Stock equal to the quotient obtained by dividing (x) the product of the number of shares of Common Stock underlying the warrants, multiplied by the difference between the exercise price of the warrants and the “sponsor fair market value” (defined below) by (y) the sponsor fair market value. For these purposes, the “sponsor fair market value” shall mean the average last reported sale price of the Common Stock for the 10 trading days ending on the third trading day prior to the date on which the notice of warrant exercise is sent to the warrant agent. </w:t>
      </w:r>
    </w:p>
    <w:p>
      <w:pPr>
        <w:pStyle w:val="TextBody"/>
        <w:bidi w:val="0"/>
        <w:spacing w:before="0" w:after="0"/>
        <w:jc w:val="righ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50"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PIPE Warrants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private placement investments made in the Series A Preferred Stock, the Series A Preferred Stock investors received PIPE Warrants to purchase a number of shares of our Common Stock equal to 125% of the total number of shares of Common Stock into which such Series A Preferred investors’ shares of the Series A Preferred Stock were convertible on September 24, 2025. The PIPE Warrants are non-redeemable. The PIPE Warrants are exercisable and will expire on September 24, 2031. The PIPE Warrants include customary cash and cashless exercise provisions. Each PIPE Warrant is initially exercisable at $12.00 per share, which exercise price is subject to anti-dilution adjustments, including with respect to certain future issuances or sales of Common Stock at prices less than the exercise price then in effect. In addition, if the trailing 45-day volume-weighted average price of Common Stock on May 29, 2026 is less than the exercise price then in effect, the exercise price will be adjusted to the greater of (i) such volume-weighted average price and (ii) $8.00. Further, if the trailing 45-day volume-weighted average price of Common Stock on August 28, 2026 is less than the exercise price then in effect, the exercise price will be adjusted to the greater of (i) such volume-weighted average price and (ii) $6.00. The PIPE Warrants also provide for certain customary registration rights with respect to the shares of Common Stock underlying the PIPE Warrants.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Non-Redemption Agreement Warrants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entrance into non-redemption agreements on September 22, 2025 with certain unaffiliated third-party holders of AACT’s Class A Ordinary Shares, AACT agreed to issue an aggregate of 7,606,666 Non-Redemption Agreement Warrants to such stockholders in exchange for such stockholders’ agreement to not redeem (or to rescind their redemption request in respect of) an aggregate of 2,453,763 Class A Ordinary Shares. The Non-Redemption Agreement Warrants have substantially the same terms as the PIPE Warrants.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Assumed Kodiak Warrants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Each Assumed Kodiak Warrant entitles the registered holder to purchase one share of Common Stock at a price of $2.24 per share. You should review the copy of the Assumed Kodiak Warrant, a copy of which is filed as an exhibit to the Annual Report on Form 10-K, for a complete description of the terms and conditions applicable to the Assumed Kodiak Warrants.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10.10</w:t>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51"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DM Sans;sans-serif" w:hAnsi="DM Sans;sans-serif"/>
          <w:b w:val="false"/>
          <w:color w:val="17334F"/>
          <w:sz w:val="20"/>
        </w:rPr>
      </w:pPr>
      <w:r>
        <w:rPr>
          <w:rFonts w:ascii="DM Sans;sans-serif" w:hAnsi="DM Sans;sans-serif"/>
          <w:b w:val="false"/>
          <w:color w:val="17334F"/>
          <w:sz w:val="20"/>
        </w:rPr>
        <w:t>1049 Terra Bella Ave</w:t>
      </w:r>
    </w:p>
    <w:p>
      <w:pPr>
        <w:pStyle w:val="TextBody"/>
        <w:bidi w:val="0"/>
        <w:spacing w:lineRule="auto" w:line="288" w:before="0" w:after="0"/>
        <w:jc w:val="right"/>
        <w:rPr>
          <w:rFonts w:ascii="DM Sans;sans-serif" w:hAnsi="DM Sans;sans-serif"/>
          <w:b w:val="false"/>
          <w:color w:val="17334F"/>
          <w:sz w:val="20"/>
        </w:rPr>
      </w:pPr>
      <w:r>
        <w:rPr>
          <w:rFonts w:ascii="DM Sans;sans-serif" w:hAnsi="DM Sans;sans-serif"/>
          <w:b w:val="false"/>
          <w:color w:val="17334F"/>
          <w:sz w:val="20"/>
        </w:rPr>
        <w:t>Mountain View, CA 94043</w:t>
      </w:r>
    </w:p>
    <w:p>
      <w:pPr>
        <w:pStyle w:val="TextBody"/>
        <w:bidi w:val="0"/>
        <w:spacing w:before="0" w:after="0"/>
        <w:jc w:val="left"/>
        <w:rPr/>
      </w:pPr>
      <w:r>
        <w:rPr/>
        <w:drawing>
          <wp:inline distT="0" distB="0" distL="0" distR="0">
            <wp:extent cx="952500" cy="914400"/>
            <wp:effectExtent l="0" t="0" r="0" b="0"/>
            <wp:docPr id="15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5" descr=""/>
                    <pic:cNvPicPr>
                      <a:picLocks noChangeAspect="1" noChangeArrowheads="1"/>
                    </pic:cNvPicPr>
                  </pic:nvPicPr>
                  <pic:blipFill>
                    <a:blip r:embed="rId51"/>
                    <a:stretch>
                      <a:fillRect/>
                    </a:stretch>
                  </pic:blipFill>
                  <pic:spPr bwMode="auto">
                    <a:xfrm>
                      <a:off x="0" y="0"/>
                      <a:ext cx="952500" cy="914400"/>
                    </a:xfrm>
                    <a:prstGeom prst="rect">
                      <a:avLst/>
                    </a:prstGeom>
                  </pic:spPr>
                </pic:pic>
              </a:graphicData>
            </a:graphic>
          </wp:inline>
        </w:drawing>
      </w:r>
    </w:p>
    <w:p>
      <w:pPr>
        <w:pStyle w:val="TextBody"/>
        <w:bidi w:val="0"/>
        <w:spacing w:before="0" w:after="0"/>
        <w:jc w:val="right"/>
        <w:rPr/>
      </w:pPr>
      <w:r>
        <w:rPr/>
      </w:r>
    </w:p>
    <w:p>
      <w:pPr>
        <w:pStyle w:val="TextBody"/>
        <w:bidi w:val="0"/>
        <w:spacing w:before="0" w:after="0"/>
        <w:jc w:val="right"/>
        <w:rPr/>
      </w:pPr>
      <w:r>
        <w:rPr/>
        <w:drawing>
          <wp:inline distT="0" distB="0" distL="0" distR="0">
            <wp:extent cx="5943600" cy="14605"/>
            <wp:effectExtent l="0" t="0" r="0" b="0"/>
            <wp:docPr id="15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6" descr=""/>
                    <pic:cNvPicPr>
                      <a:picLocks noChangeAspect="1" noChangeArrowheads="1"/>
                    </pic:cNvPicPr>
                  </pic:nvPicPr>
                  <pic:blipFill>
                    <a:blip r:embed="rId52"/>
                    <a:stretch>
                      <a:fillRect/>
                    </a:stretch>
                  </pic:blipFill>
                  <pic:spPr bwMode="auto">
                    <a:xfrm>
                      <a:off x="0" y="0"/>
                      <a:ext cx="5943600" cy="14605"/>
                    </a:xfrm>
                    <a:prstGeom prst="rect">
                      <a:avLst/>
                    </a:prstGeom>
                  </pic:spPr>
                </pic:pic>
              </a:graphicData>
            </a:graphic>
          </wp:inline>
        </w:drawing>
      </w:r>
    </w:p>
    <w:p>
      <w:pPr>
        <w:pStyle w:val="TextBody"/>
        <w:bidi w:val="0"/>
        <w:spacing w:before="0" w:after="0"/>
        <w:jc w:val="right"/>
        <w:rPr/>
      </w:pPr>
      <w:r>
        <w:rPr/>
      </w:r>
    </w:p>
    <w:p>
      <w:pPr>
        <w:pStyle w:val="TextBody"/>
        <w:bidi w:val="0"/>
        <w:spacing w:lineRule="auto" w:line="276" w:before="0" w:after="240"/>
        <w:jc w:val="center"/>
        <w:rPr/>
      </w:pPr>
      <w:r>
        <w:rPr>
          <w:rFonts w:ascii="Times New Roman;serif" w:hAnsi="Times New Roman;serif"/>
          <w:b/>
          <w:color w:val="000000"/>
          <w:sz w:val="24"/>
        </w:rPr>
        <w:t>KODIAK ROBOTICS, INC.</w:t>
      </w:r>
      <w:r>
        <w:rPr>
          <w:rFonts w:ascii="Times New Roman;serif" w:hAnsi="Times New Roman;serif"/>
          <w:b w:val="false"/>
          <w:color w:val="000000"/>
          <w:sz w:val="24"/>
        </w:rPr>
        <w:br/>
        <w:br/>
      </w:r>
      <w:r>
        <w:rPr>
          <w:rFonts w:ascii="Times New Roman;serif" w:hAnsi="Times New Roman;serif"/>
          <w:b/>
          <w:color w:val="000000"/>
          <w:sz w:val="24"/>
        </w:rPr>
        <w:t>Offer Letter</w:t>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August 18, 2025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Mr. Surajit Datta</w:t>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via email</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Dear Surajit:</w:t>
      </w:r>
    </w:p>
    <w:p>
      <w:pPr>
        <w:pStyle w:val="TextBody"/>
        <w:bidi w:val="0"/>
        <w:spacing w:lineRule="auto" w:line="288" w:before="0" w:after="240"/>
        <w:ind w:left="0" w:right="0" w:firstLine="720"/>
        <w:jc w:val="both"/>
        <w:rPr/>
      </w:pPr>
      <w:r>
        <w:rPr>
          <w:rFonts w:ascii="Times New Roman;serif" w:hAnsi="Times New Roman;serif"/>
          <w:b w:val="false"/>
          <w:color w:val="000000"/>
          <w:sz w:val="24"/>
        </w:rPr>
        <w:t>On behalf of Kodiak Robotics, Inc.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I am pleased to offer you employment as the Company’s Chief Financial Officer, subject to the terms and conditions set forth in this letter agreement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As you may be aware, on April 14, 2025, the Company entered into a Business Combination Agreement between the Company, Ares Acquisition Corporation II and certain other parties (the closing of the transactions contemplated thereby, the “</w:t>
      </w:r>
      <w:r>
        <w:rPr>
          <w:rFonts w:ascii="Times New Roman;serif" w:hAnsi="Times New Roman;serif"/>
          <w:b/>
          <w:color w:val="000000"/>
          <w:sz w:val="24"/>
        </w:rPr>
        <w:t>Closing</w:t>
      </w:r>
      <w:r>
        <w:rPr>
          <w:color w:val="000000"/>
        </w:rPr>
        <w:t>”</w:t>
      </w:r>
      <w:r>
        <w:rPr>
          <w:rFonts w:ascii="Times New Roman;serif" w:hAnsi="Times New Roman;serif"/>
          <w:b w:val="false"/>
          <w:color w:val="000000"/>
          <w:sz w:val="24"/>
        </w:rPr>
        <w:t>). In connection with the Closing, Ares Acquisition Corporation II will be renamed Kodiak AI, Inc. (“</w:t>
      </w:r>
      <w:r>
        <w:rPr>
          <w:rFonts w:ascii="Times New Roman;serif" w:hAnsi="Times New Roman;serif"/>
          <w:b/>
          <w:color w:val="000000"/>
          <w:sz w:val="24"/>
        </w:rPr>
        <w:t>Parent</w:t>
      </w:r>
      <w:r>
        <w:rPr>
          <w:color w:val="000000"/>
        </w:rPr>
        <w:t>”</w:t>
      </w:r>
      <w:r>
        <w:rPr>
          <w:rFonts w:ascii="Times New Roman;serif" w:hAnsi="Times New Roman;serif"/>
          <w:b w:val="false"/>
          <w:color w:val="000000"/>
          <w:sz w:val="24"/>
        </w:rPr>
        <w:t>). Parent and its subsidiaries (which will include the Company) are referred to in this Agreement as the “</w:t>
      </w:r>
      <w:r>
        <w:rPr>
          <w:rFonts w:ascii="Times New Roman;serif" w:hAnsi="Times New Roman;serif"/>
          <w:b/>
          <w:color w:val="000000"/>
          <w:sz w:val="24"/>
        </w:rPr>
        <w:t>Company Group</w:t>
      </w:r>
      <w:r>
        <w:rPr>
          <w:rFonts w:ascii="Times New Roman;serif" w:hAnsi="Times New Roman;serif"/>
          <w:b w:val="false"/>
          <w:color w:val="000000"/>
          <w:sz w:val="24"/>
        </w:rPr>
        <w:t>.”</w:t>
      </w:r>
    </w:p>
    <w:p>
      <w:pPr>
        <w:pStyle w:val="TextBody"/>
        <w:bidi w:val="0"/>
        <w:spacing w:lineRule="auto" w:line="288" w:before="0" w:after="240"/>
        <w:ind w:left="0" w:right="0" w:hanging="360"/>
        <w:jc w:val="both"/>
        <w:rPr/>
      </w:pPr>
      <w:r>
        <w:rPr>
          <w:rFonts w:ascii="Times New Roman;serif" w:hAnsi="Times New Roman;serif"/>
          <w:b w:val="false"/>
          <w:color w:val="000000"/>
          <w:sz w:val="24"/>
        </w:rPr>
        <w:t>1.    </w:t>
      </w:r>
      <w:r>
        <w:rPr>
          <w:rFonts w:ascii="Times New Roman;serif" w:hAnsi="Times New Roman;serif"/>
          <w:b/>
          <w:color w:val="000000"/>
          <w:sz w:val="24"/>
        </w:rPr>
        <w:t>Position</w:t>
      </w:r>
      <w:r>
        <w:rPr>
          <w:rFonts w:ascii="Times New Roman;serif" w:hAnsi="Times New Roman;serif"/>
          <w:b w:val="false"/>
          <w:color w:val="000000"/>
          <w:sz w:val="24"/>
        </w:rPr>
        <w:t>. Subject to your acceptance of this Agreement, you will serve as Chief Financial Officer of the Company and will report to the Company’s Chief Executive Officer. This is a full-time position. While you render services to the Company and, following the Closing, to the Company Group, you will not engage in any other employment, consulting or other business activity (whether full-time or part-time) without the prior approval of the Company’s Board of Directors (the “</w:t>
      </w:r>
      <w:r>
        <w:rPr>
          <w:rFonts w:ascii="Times New Roman;serif" w:hAnsi="Times New Roman;serif"/>
          <w:b/>
          <w:color w:val="000000"/>
          <w:sz w:val="24"/>
        </w:rPr>
        <w:t>Company Board</w:t>
      </w:r>
      <w:r>
        <w:rPr>
          <w:color w:val="000000"/>
        </w:rPr>
        <w:t>”</w:t>
      </w:r>
      <w:r>
        <w:rPr>
          <w:rFonts w:ascii="Times New Roman;serif" w:hAnsi="Times New Roman;serif"/>
          <w:b w:val="false"/>
          <w:color w:val="000000"/>
          <w:sz w:val="24"/>
        </w:rPr>
        <w:t>) or its designee, or, following the Closing, Parent’s Board of Directors (the “</w:t>
      </w:r>
      <w:r>
        <w:rPr>
          <w:rFonts w:ascii="Times New Roman;serif" w:hAnsi="Times New Roman;serif"/>
          <w:b/>
          <w:color w:val="000000"/>
          <w:sz w:val="24"/>
        </w:rPr>
        <w:t>Parent</w:t>
      </w:r>
      <w:r>
        <w:rPr>
          <w:color w:val="000000"/>
        </w:rPr>
        <w:t xml:space="preserve"> </w:t>
      </w:r>
      <w:r>
        <w:rPr>
          <w:rFonts w:ascii="Times New Roman;serif" w:hAnsi="Times New Roman;serif"/>
          <w:b/>
          <w:color w:val="000000"/>
          <w:sz w:val="24"/>
        </w:rPr>
        <w:t>Board</w:t>
      </w:r>
      <w:r>
        <w:rPr>
          <w:color w:val="000000"/>
        </w:rPr>
        <w:t>”</w:t>
      </w:r>
      <w:r>
        <w:rPr>
          <w:rFonts w:ascii="Times New Roman;serif" w:hAnsi="Times New Roman;serif"/>
          <w:b w:val="false"/>
          <w:color w:val="000000"/>
          <w:sz w:val="24"/>
        </w:rPr>
        <w:t>) or its designee. By signing this Agreement, you confirm to the Company that you have no contractual commitments or other legal obligations that would prohibit you from performing your duties for the Company Group.</w:t>
      </w:r>
    </w:p>
    <w:p>
      <w:pPr>
        <w:pStyle w:val="TextBody"/>
        <w:bidi w:val="0"/>
        <w:spacing w:lineRule="auto" w:line="288" w:before="120" w:after="240"/>
        <w:ind w:left="0" w:right="0" w:hanging="360"/>
        <w:jc w:val="both"/>
        <w:rPr/>
      </w:pPr>
      <w:r>
        <w:rPr>
          <w:rFonts w:ascii="Times New Roman;serif" w:hAnsi="Times New Roman;serif"/>
          <w:b w:val="false"/>
          <w:color w:val="000000"/>
          <w:sz w:val="24"/>
        </w:rPr>
        <w:t>2.    </w:t>
      </w:r>
      <w:r>
        <w:rPr>
          <w:rFonts w:ascii="Times New Roman;serif" w:hAnsi="Times New Roman;serif"/>
          <w:b/>
          <w:color w:val="000000"/>
          <w:sz w:val="24"/>
        </w:rPr>
        <w:t>Compensation and Benefits</w:t>
      </w:r>
      <w:r>
        <w:rPr>
          <w:rFonts w:ascii="Times New Roman;serif" w:hAnsi="Times New Roman;serif"/>
          <w:b w:val="false"/>
          <w:color w:val="000000"/>
          <w:sz w:val="24"/>
        </w:rPr>
        <w:t xml:space="preserve">. </w:t>
      </w:r>
    </w:p>
    <w:p>
      <w:pPr>
        <w:pStyle w:val="TextBody"/>
        <w:bidi w:val="0"/>
        <w:spacing w:lineRule="auto" w:line="288" w:before="120" w:after="240"/>
        <w:ind w:left="0" w:right="0" w:hanging="360"/>
        <w:jc w:val="both"/>
        <w:rPr/>
      </w:pPr>
      <w:r>
        <w:rPr>
          <w:rFonts w:ascii="Times New Roman;serif" w:hAnsi="Times New Roman;serif"/>
          <w:b w:val="false"/>
          <w:color w:val="000000"/>
          <w:sz w:val="24"/>
        </w:rPr>
        <w:t>(a)    </w:t>
      </w:r>
      <w:r>
        <w:rPr>
          <w:rFonts w:ascii="Times New Roman;serif" w:hAnsi="Times New Roman;serif"/>
          <w:b/>
          <w:color w:val="000000"/>
          <w:sz w:val="24"/>
        </w:rPr>
        <w:t>Base Salary</w:t>
      </w:r>
      <w:r>
        <w:rPr>
          <w:rFonts w:ascii="Times New Roman;serif" w:hAnsi="Times New Roman;serif"/>
          <w:b w:val="false"/>
          <w:color w:val="000000"/>
          <w:sz w:val="24"/>
        </w:rPr>
        <w:t>. Your rate of annual base salary will be $400,000 per year, less applicable withholding, which will be paid in accordance with the Company’s normal payroll procedures.</w:t>
      </w:r>
    </w:p>
    <w:p>
      <w:pPr>
        <w:pStyle w:val="TextBody"/>
        <w:bidi w:val="0"/>
        <w:spacing w:lineRule="auto" w:line="288" w:before="120" w:after="240"/>
        <w:ind w:left="0" w:right="0" w:hanging="360"/>
        <w:jc w:val="both"/>
        <w:rPr/>
      </w:pPr>
      <w:r>
        <w:rPr>
          <w:rFonts w:ascii="Times New Roman;serif" w:hAnsi="Times New Roman;serif"/>
          <w:b w:val="false"/>
          <w:color w:val="000000"/>
          <w:sz w:val="24"/>
        </w:rPr>
        <w:t>(b)    </w:t>
      </w:r>
      <w:r>
        <w:rPr>
          <w:rFonts w:ascii="Times New Roman;serif" w:hAnsi="Times New Roman;serif"/>
          <w:b/>
          <w:color w:val="000000"/>
          <w:sz w:val="24"/>
        </w:rPr>
        <w:t>Annual Bonus Opportunity</w:t>
      </w:r>
      <w:r>
        <w:rPr>
          <w:rFonts w:ascii="Times New Roman;serif" w:hAnsi="Times New Roman;serif"/>
          <w:b w:val="false"/>
          <w:color w:val="000000"/>
          <w:sz w:val="24"/>
        </w:rPr>
        <w:t>. Your annual target bonus opportunity will be sixty-five percent (65%) of your annual base salary (the “</w:t>
      </w:r>
      <w:r>
        <w:rPr>
          <w:rFonts w:ascii="Times New Roman;serif" w:hAnsi="Times New Roman;serif"/>
          <w:b/>
          <w:color w:val="000000"/>
          <w:sz w:val="24"/>
        </w:rPr>
        <w:t>Target Bonus</w:t>
      </w:r>
      <w:r>
        <w:rPr>
          <w:color w:val="000000"/>
        </w:rPr>
        <w:t>”</w:t>
      </w:r>
      <w:r>
        <w:rPr>
          <w:rFonts w:ascii="Times New Roman;serif" w:hAnsi="Times New Roman;serif"/>
          <w:b w:val="false"/>
          <w:color w:val="000000"/>
          <w:sz w:val="24"/>
        </w:rPr>
        <w:t xml:space="preserve">). The Target Bonus shall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05790"/>
                <wp:effectExtent l="0" t="0" r="0" b="0"/>
                <wp:wrapNone/>
                <wp:docPr id="154" name="Frame148"/>
                <a:graphic xmlns:a="http://schemas.openxmlformats.org/drawingml/2006/main">
                  <a:graphicData uri="http://schemas.microsoft.com/office/word/2010/wordprocessingShape">
                    <wps:wsp>
                      <wps:cNvSpPr txBox="1"/>
                      <wps:spPr>
                        <a:xfrm>
                          <a:off x="0" y="0"/>
                          <a:ext cx="6480175" cy="605790"/>
                        </a:xfrm>
                        <a:prstGeom prst="rect"/>
                        <a:solidFill>
                          <a:srgbClr val="FFFFFF"/>
                        </a:solidFill>
                      </wps:spPr>
                      <wps:txbx>
                        <w:txbxContent>
                          <w:p>
                            <w:pPr>
                              <w:pStyle w:val="TextBody"/>
                              <w:bidi w:val="0"/>
                              <w:spacing w:before="0" w:after="0"/>
                              <w:jc w:val="center"/>
                              <w:rPr/>
                            </w:pPr>
                            <w:r>
                              <w:rPr/>
                              <w:drawing>
                                <wp:inline distT="0" distB="0" distL="0" distR="0">
                                  <wp:extent cx="5943600" cy="14605"/>
                                  <wp:effectExtent l="0" t="0" r="0" b="0"/>
                                  <wp:docPr id="15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7" descr=""/>
                                          <pic:cNvPicPr>
                                            <a:picLocks noChangeAspect="1" noChangeArrowheads="1"/>
                                          </pic:cNvPicPr>
                                        </pic:nvPicPr>
                                        <pic:blipFill>
                                          <a:blip r:embed="rId53"/>
                                          <a:stretch>
                                            <a:fillRect/>
                                          </a:stretch>
                                        </pic:blipFill>
                                        <pic:spPr bwMode="auto">
                                          <a:xfrm>
                                            <a:off x="0" y="0"/>
                                            <a:ext cx="5943600" cy="14605"/>
                                          </a:xfrm>
                                          <a:prstGeom prst="rect">
                                            <a:avLst/>
                                          </a:prstGeom>
                                        </pic:spPr>
                                      </pic:pic>
                                    </a:graphicData>
                                  </a:graphic>
                                </wp:inline>
                              </w:drawing>
                            </w:r>
                            <w:r>
                              <w:br w:type="page"/>
                            </w:r>
                          </w:p>
                          <w:p>
                            <w:pPr>
                              <w:pStyle w:val="TextBody"/>
                              <w:bidi w:val="0"/>
                              <w:spacing w:before="0" w:after="0"/>
                              <w:jc w:val="center"/>
                              <w:rPr/>
                            </w:pPr>
                            <w:r>
                              <w:rPr/>
                            </w:r>
                          </w:p>
                          <w:p>
                            <w:pPr>
                              <w:pStyle w:val="TextBody"/>
                              <w:bidi w:val="0"/>
                              <w:spacing w:lineRule="auto" w:line="288" w:before="0" w:after="0"/>
                              <w:jc w:val="center"/>
                              <w:rPr>
                                <w:rFonts w:ascii="DM Sans;sans-serif" w:hAnsi="DM Sans;sans-serif"/>
                                <w:b/>
                                <w:color w:val="000000"/>
                                <w:sz w:val="20"/>
                              </w:rPr>
                            </w:pPr>
                            <w:r>
                              <w:rPr>
                                <w:rFonts w:ascii="DM Sans;sans-serif" w:hAnsi="DM Sans;sans-serif"/>
                                <w:b/>
                                <w:color w:val="000000"/>
                                <w:sz w:val="20"/>
                              </w:rPr>
                              <w:t>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5943600" cy="14605"/>
                            <wp:effectExtent l="0" t="0" r="0" b="0"/>
                            <wp:docPr id="15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7" descr=""/>
                                    <pic:cNvPicPr>
                                      <a:picLocks noChangeAspect="1" noChangeArrowheads="1"/>
                                    </pic:cNvPicPr>
                                  </pic:nvPicPr>
                                  <pic:blipFill>
                                    <a:blip r:embed="rId54"/>
                                    <a:stretch>
                                      <a:fillRect/>
                                    </a:stretch>
                                  </pic:blipFill>
                                  <pic:spPr bwMode="auto">
                                    <a:xfrm>
                                      <a:off x="0" y="0"/>
                                      <a:ext cx="5943600" cy="1460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DM Sans;sans-serif" w:hAnsi="DM Sans;sans-serif"/>
                          <w:b/>
                          <w:color w:val="000000"/>
                          <w:sz w:val="20"/>
                        </w:rPr>
                      </w:pPr>
                      <w:r>
                        <w:rPr>
                          <w:rFonts w:ascii="DM Sans;sans-serif" w:hAnsi="DM Sans;sans-serif"/>
                          <w:b/>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be subject to review and may be adjusted based upon the Company’s normal performance review practices. Your actual bonuses shall be based upon achievement of performance objectives to be determined by the Company Board, and following the Closing, the Parent Board, in its sole and absolute discretion. Bonuses will be paid as soon as practicable after the Company Board or Parent Board, as applicable, determines that the performance objectives related to such bonuses have been achieved, provided that you must remain an employee of the Company Group through the date a bonus is paid in order to earn such bonus. </w:t>
      </w:r>
    </w:p>
    <w:p>
      <w:pPr>
        <w:pStyle w:val="TextBody"/>
        <w:bidi w:val="0"/>
        <w:spacing w:lineRule="auto" w:line="288" w:before="120" w:after="240"/>
        <w:ind w:left="0" w:right="0" w:hanging="360"/>
        <w:jc w:val="both"/>
        <w:rPr/>
      </w:pPr>
      <w:r>
        <w:rPr>
          <w:rFonts w:ascii="Times New Roman;serif" w:hAnsi="Times New Roman;serif"/>
          <w:b w:val="false"/>
          <w:color w:val="000000"/>
          <w:sz w:val="24"/>
        </w:rPr>
        <w:t>(c)    </w:t>
      </w:r>
      <w:r>
        <w:rPr>
          <w:rFonts w:ascii="Times New Roman;serif" w:hAnsi="Times New Roman;serif"/>
          <w:b/>
          <w:color w:val="000000"/>
          <w:sz w:val="24"/>
        </w:rPr>
        <w:t>Employee Benefits</w:t>
      </w:r>
      <w:r>
        <w:rPr>
          <w:rFonts w:ascii="Times New Roman;serif" w:hAnsi="Times New Roman;serif"/>
          <w:b w:val="false"/>
          <w:color w:val="000000"/>
          <w:sz w:val="24"/>
        </w:rPr>
        <w:t>. As a full-time employee, you will be eligible to participate in the Company’s standard benefit plans as in effect from time to time, on the same basis as those benefit plans are generally made available to other similarly situated executives of the Company. Such benefit plans are subject to change, and may be supplemented, altered, or eliminated, in part or entirely. Any eligibility to participate in such benefits plans, as well as the terms thereof, shall be as set forth in the governing documents for such plans, or there are no such governing documents, in the Company’s policies.</w:t>
      </w:r>
    </w:p>
    <w:p>
      <w:pPr>
        <w:pStyle w:val="TextBody"/>
        <w:bidi w:val="0"/>
        <w:spacing w:lineRule="auto" w:line="288" w:before="120" w:after="240"/>
        <w:ind w:left="0" w:right="0" w:hanging="360"/>
        <w:jc w:val="both"/>
        <w:rPr/>
      </w:pPr>
      <w:r>
        <w:rPr>
          <w:rFonts w:ascii="Times New Roman;serif" w:hAnsi="Times New Roman;serif"/>
          <w:b w:val="false"/>
          <w:color w:val="000000"/>
          <w:sz w:val="24"/>
        </w:rPr>
        <w:t>(d)    </w:t>
      </w:r>
      <w:r>
        <w:rPr>
          <w:rFonts w:ascii="Times New Roman;serif" w:hAnsi="Times New Roman;serif"/>
          <w:b/>
          <w:color w:val="000000"/>
          <w:sz w:val="24"/>
        </w:rPr>
        <w:t>Equity Awards.</w:t>
      </w:r>
      <w:r>
        <w:rPr>
          <w:color w:val="000000"/>
        </w:rPr>
        <w:t xml:space="preserve"> </w:t>
      </w:r>
      <w:r>
        <w:rPr>
          <w:rFonts w:ascii="Times New Roman;serif" w:hAnsi="Times New Roman;serif"/>
          <w:b w:val="false"/>
          <w:color w:val="000000"/>
          <w:sz w:val="24"/>
        </w:rPr>
        <w:t>It will be recommended to the Company Board that you be granted a stock option to purchase 3,073,563 share of Company common stock (the “</w:t>
      </w:r>
      <w:r>
        <w:rPr>
          <w:rFonts w:ascii="Times New Roman;serif" w:hAnsi="Times New Roman;serif"/>
          <w:b/>
          <w:color w:val="000000"/>
          <w:sz w:val="24"/>
        </w:rPr>
        <w:t>Option</w:t>
      </w:r>
      <w:r>
        <w:rPr>
          <w:color w:val="000000"/>
        </w:rPr>
        <w:t>”</w:t>
      </w:r>
      <w:r>
        <w:rPr>
          <w:rFonts w:ascii="Times New Roman;serif" w:hAnsi="Times New Roman;serif"/>
          <w:b w:val="false"/>
          <w:color w:val="000000"/>
          <w:sz w:val="24"/>
        </w:rPr>
        <w:t>). The Option will have a per share exercise price at least equal to the fair market value of an underlying share on the date of grant and will be granted under and subject to the terms of the Company’s 2018 Equity Incentive Plan (the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and an award agreement thereunder, including vesting. The Option will have a term of 10 years from the date of grant, subject to earlier termination pursuant to the terms of the Plan or upon the termination of your status as a Service Provider (as defined in the Plan). 25% of the shares subject to the Option will vest on the first anniversary of the vesting commencement date, and 1/48</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of the shares subject to the Option will vest each month thereafter, in each case subject to your continued status as a Service Provider through the applicable vesting date.</w:t>
      </w:r>
    </w:p>
    <w:p>
      <w:pPr>
        <w:pStyle w:val="TextBody"/>
        <w:bidi w:val="0"/>
        <w:spacing w:lineRule="auto" w:line="288" w:before="120" w:after="240"/>
        <w:ind w:left="0" w:right="0" w:hanging="360"/>
        <w:jc w:val="both"/>
        <w:rPr/>
      </w:pPr>
      <w:r>
        <w:rPr>
          <w:rFonts w:ascii="Times New Roman;serif" w:hAnsi="Times New Roman;serif"/>
          <w:b w:val="false"/>
          <w:color w:val="000000"/>
          <w:sz w:val="24"/>
        </w:rPr>
        <w:t>(e)    </w:t>
      </w:r>
      <w:r>
        <w:rPr>
          <w:rFonts w:ascii="Times New Roman;serif" w:hAnsi="Times New Roman;serif"/>
          <w:b/>
          <w:color w:val="000000"/>
          <w:sz w:val="24"/>
        </w:rPr>
        <w:t>Expenses.</w:t>
      </w:r>
      <w:r>
        <w:rPr>
          <w:color w:val="000000"/>
        </w:rPr>
        <w:t xml:space="preserve"> </w:t>
      </w:r>
      <w:r>
        <w:rPr>
          <w:rFonts w:ascii="Times New Roman;serif" w:hAnsi="Times New Roman;serif"/>
          <w:b w:val="false"/>
          <w:color w:val="000000"/>
          <w:sz w:val="24"/>
        </w:rPr>
        <w:t>You will be entitled to receive prompt reimbursement for all reasonable expenses incurred by you in the furtherance of or in connection with the performance of your duties hereunder, in accordance with the applicable policy of the Company, as in effect from time to time. In the event that any expense reimbursements are taxable to you, such reimbursements will be made in the time frame specified by Treasury Regulation Section 1.409A-3(i)(1)(iv) unless another time frame that complies with or is exempt from Section 409A (as defined below) is specified in the Company’s expense reimbursement policy.</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05790"/>
                <wp:effectExtent l="0" t="0" r="0" b="0"/>
                <wp:wrapNone/>
                <wp:docPr id="157" name="Frame149"/>
                <a:graphic xmlns:a="http://schemas.openxmlformats.org/drawingml/2006/main">
                  <a:graphicData uri="http://schemas.microsoft.com/office/word/2010/wordprocessingShape">
                    <wps:wsp>
                      <wps:cNvSpPr txBox="1"/>
                      <wps:spPr>
                        <a:xfrm>
                          <a:off x="0" y="0"/>
                          <a:ext cx="6480175" cy="605790"/>
                        </a:xfrm>
                        <a:prstGeom prst="rect"/>
                        <a:solidFill>
                          <a:srgbClr val="FFFFFF"/>
                        </a:solidFill>
                      </wps:spPr>
                      <wps:txbx>
                        <w:txbxContent>
                          <w:p>
                            <w:pPr>
                              <w:pStyle w:val="TextBody"/>
                              <w:bidi w:val="0"/>
                              <w:spacing w:before="0" w:after="0"/>
                              <w:jc w:val="center"/>
                              <w:rPr/>
                            </w:pPr>
                            <w:r>
                              <w:rPr/>
                              <w:drawing>
                                <wp:inline distT="0" distB="0" distL="0" distR="0">
                                  <wp:extent cx="5943600" cy="14605"/>
                                  <wp:effectExtent l="0" t="0" r="0" b="0"/>
                                  <wp:docPr id="15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8" descr=""/>
                                          <pic:cNvPicPr>
                                            <a:picLocks noChangeAspect="1" noChangeArrowheads="1"/>
                                          </pic:cNvPicPr>
                                        </pic:nvPicPr>
                                        <pic:blipFill>
                                          <a:blip r:embed="rId55"/>
                                          <a:stretch>
                                            <a:fillRect/>
                                          </a:stretch>
                                        </pic:blipFill>
                                        <pic:spPr bwMode="auto">
                                          <a:xfrm>
                                            <a:off x="0" y="0"/>
                                            <a:ext cx="5943600" cy="14605"/>
                                          </a:xfrm>
                                          <a:prstGeom prst="rect">
                                            <a:avLst/>
                                          </a:prstGeom>
                                        </pic:spPr>
                                      </pic:pic>
                                    </a:graphicData>
                                  </a:graphic>
                                </wp:inline>
                              </w:drawing>
                            </w:r>
                            <w:r>
                              <w:br w:type="page"/>
                            </w:r>
                          </w:p>
                          <w:p>
                            <w:pPr>
                              <w:pStyle w:val="TextBody"/>
                              <w:bidi w:val="0"/>
                              <w:spacing w:before="0" w:after="0"/>
                              <w:jc w:val="center"/>
                              <w:rPr/>
                            </w:pPr>
                            <w:r>
                              <w:rPr/>
                            </w:r>
                          </w:p>
                          <w:p>
                            <w:pPr>
                              <w:pStyle w:val="TextBody"/>
                              <w:bidi w:val="0"/>
                              <w:spacing w:lineRule="auto" w:line="288" w:before="0" w:after="0"/>
                              <w:jc w:val="center"/>
                              <w:rPr>
                                <w:rFonts w:ascii="DM Sans;sans-serif" w:hAnsi="DM Sans;sans-serif"/>
                                <w:b/>
                                <w:color w:val="000000"/>
                                <w:sz w:val="20"/>
                              </w:rPr>
                            </w:pPr>
                            <w:r>
                              <w:rPr>
                                <w:rFonts w:ascii="DM Sans;sans-serif" w:hAnsi="DM Sans;sans-serif"/>
                                <w:b/>
                                <w:color w:val="000000"/>
                                <w:sz w:val="20"/>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5943600" cy="14605"/>
                            <wp:effectExtent l="0" t="0" r="0" b="0"/>
                            <wp:docPr id="15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8" descr=""/>
                                    <pic:cNvPicPr>
                                      <a:picLocks noChangeAspect="1" noChangeArrowheads="1"/>
                                    </pic:cNvPicPr>
                                  </pic:nvPicPr>
                                  <pic:blipFill>
                                    <a:blip r:embed="rId56"/>
                                    <a:stretch>
                                      <a:fillRect/>
                                    </a:stretch>
                                  </pic:blipFill>
                                  <pic:spPr bwMode="auto">
                                    <a:xfrm>
                                      <a:off x="0" y="0"/>
                                      <a:ext cx="5943600" cy="1460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DM Sans;sans-serif" w:hAnsi="DM Sans;sans-serif"/>
                          <w:b/>
                          <w:color w:val="000000"/>
                          <w:sz w:val="20"/>
                        </w:rPr>
                      </w:pPr>
                      <w:r>
                        <w:rPr>
                          <w:rFonts w:ascii="DM Sans;sans-serif" w:hAnsi="DM Sans;sans-serif"/>
                          <w:b/>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40"/>
        <w:ind w:left="0" w:right="0" w:hanging="360"/>
        <w:jc w:val="both"/>
        <w:rPr/>
      </w:pPr>
      <w:r>
        <w:rPr>
          <w:rFonts w:ascii="Times New Roman;serif" w:hAnsi="Times New Roman;serif"/>
          <w:b w:val="false"/>
          <w:color w:val="000000"/>
          <w:sz w:val="24"/>
        </w:rPr>
        <w:t>(f)    </w:t>
      </w:r>
      <w:r>
        <w:rPr>
          <w:rFonts w:ascii="Times New Roman;serif" w:hAnsi="Times New Roman;serif"/>
          <w:b/>
          <w:color w:val="000000"/>
          <w:sz w:val="24"/>
        </w:rPr>
        <w:t>Vacation.</w:t>
      </w:r>
      <w:r>
        <w:rPr>
          <w:color w:val="000000"/>
        </w:rPr>
        <w:t xml:space="preserve"> </w:t>
      </w:r>
      <w:r>
        <w:rPr>
          <w:rFonts w:ascii="Times New Roman;serif" w:hAnsi="Times New Roman;serif"/>
          <w:b w:val="false"/>
          <w:color w:val="000000"/>
          <w:sz w:val="24"/>
        </w:rPr>
        <w:t xml:space="preserve">You will be entitled to paid vacation in accordance with the Company’s vacation policy, as in effect from time to time. </w:t>
      </w:r>
    </w:p>
    <w:p>
      <w:pPr>
        <w:pStyle w:val="TextBody"/>
        <w:bidi w:val="0"/>
        <w:spacing w:lineRule="auto" w:line="288" w:before="120" w:after="240"/>
        <w:ind w:left="0" w:right="0" w:hanging="360"/>
        <w:jc w:val="both"/>
        <w:rPr/>
      </w:pPr>
      <w:r>
        <w:rPr>
          <w:rFonts w:ascii="Times New Roman;serif" w:hAnsi="Times New Roman;serif"/>
          <w:b w:val="false"/>
          <w:color w:val="000000"/>
          <w:sz w:val="24"/>
        </w:rPr>
        <w:t>3.    </w:t>
      </w:r>
      <w:r>
        <w:rPr>
          <w:rFonts w:ascii="Times New Roman;serif" w:hAnsi="Times New Roman;serif"/>
          <w:b/>
          <w:color w:val="000000"/>
          <w:sz w:val="24"/>
        </w:rPr>
        <w:t>Severance &amp; Change of Control Benefits.</w:t>
      </w:r>
      <w:r>
        <w:rPr>
          <w:color w:val="000000"/>
        </w:rPr>
        <w:t xml:space="preserve"> </w:t>
      </w:r>
      <w:r>
        <w:rPr>
          <w:rFonts w:ascii="Times New Roman;serif" w:hAnsi="Times New Roman;serif"/>
          <w:b w:val="false"/>
          <w:color w:val="000000"/>
          <w:sz w:val="24"/>
        </w:rPr>
        <w:t>In connection with executing this Agreement, you will be eligible to enter into a participation agreement under Parent’s Change in Control and Severance Policy between you and Parent (together, the “</w:t>
      </w:r>
      <w:r>
        <w:rPr>
          <w:rFonts w:ascii="Times New Roman;serif" w:hAnsi="Times New Roman;serif"/>
          <w:b/>
          <w:color w:val="000000"/>
          <w:sz w:val="24"/>
        </w:rPr>
        <w:t>Severance Documents</w:t>
      </w:r>
      <w:r>
        <w:rPr>
          <w:color w:val="000000"/>
        </w:rPr>
        <w:t>”</w:t>
      </w:r>
      <w:r>
        <w:rPr>
          <w:rFonts w:ascii="Times New Roman;serif" w:hAnsi="Times New Roman;serif"/>
          <w:b w:val="false"/>
          <w:color w:val="000000"/>
          <w:sz w:val="24"/>
        </w:rPr>
        <w:t xml:space="preserve">). The Severance Documents shall become effective no earlier than the Closing, subject to your continued employment through the date of the Closing, and are incorporated herein by reference. </w:t>
      </w:r>
    </w:p>
    <w:p>
      <w:pPr>
        <w:pStyle w:val="TextBody"/>
        <w:bidi w:val="0"/>
        <w:spacing w:lineRule="auto" w:line="288" w:before="120" w:after="240"/>
        <w:ind w:left="0" w:right="0" w:hanging="360"/>
        <w:jc w:val="both"/>
        <w:rPr/>
      </w:pPr>
      <w:r>
        <w:rPr>
          <w:rFonts w:ascii="Times New Roman;serif" w:hAnsi="Times New Roman;serif"/>
          <w:b w:val="false"/>
          <w:color w:val="000000"/>
          <w:sz w:val="24"/>
        </w:rPr>
        <w:t>4.    </w:t>
      </w:r>
      <w:r>
        <w:rPr>
          <w:rFonts w:ascii="Times New Roman;serif" w:hAnsi="Times New Roman;serif"/>
          <w:b/>
          <w:color w:val="000000"/>
          <w:sz w:val="24"/>
        </w:rPr>
        <w:t>Background Check</w:t>
      </w:r>
      <w:r>
        <w:rPr>
          <w:rFonts w:ascii="Times New Roman;serif" w:hAnsi="Times New Roman;serif"/>
          <w:b w:val="false"/>
          <w:color w:val="000000"/>
          <w:sz w:val="24"/>
        </w:rPr>
        <w:t>. The Company reserves the right to conduct background investigations and/or reference checks on all of its potential employees. Your job offer, therefore, is contingent upon a clearance of such a background investigation and/or reference check, if any.</w:t>
      </w:r>
    </w:p>
    <w:p>
      <w:pPr>
        <w:pStyle w:val="TextBody"/>
        <w:bidi w:val="0"/>
        <w:spacing w:lineRule="auto" w:line="288" w:before="120" w:after="240"/>
        <w:ind w:left="0" w:right="0" w:hanging="360"/>
        <w:jc w:val="both"/>
        <w:rPr/>
      </w:pPr>
      <w:r>
        <w:rPr>
          <w:rFonts w:ascii="Times New Roman;serif" w:hAnsi="Times New Roman;serif"/>
          <w:b w:val="false"/>
          <w:color w:val="000000"/>
          <w:sz w:val="24"/>
        </w:rPr>
        <w:t>5.    </w:t>
      </w:r>
      <w:r>
        <w:rPr>
          <w:rFonts w:ascii="Times New Roman;serif" w:hAnsi="Times New Roman;serif"/>
          <w:b/>
          <w:color w:val="000000"/>
          <w:sz w:val="24"/>
        </w:rPr>
        <w:t>Authorization to Work</w:t>
      </w:r>
      <w:r>
        <w:rPr>
          <w:rFonts w:ascii="Times New Roman;serif" w:hAnsi="Times New Roman;serif"/>
          <w:b w:val="false"/>
          <w:color w:val="000000"/>
          <w:sz w:val="24"/>
        </w:rPr>
        <w:t xml:space="preserve">. For purposes of federal immigration law, you will be required to provide to the Company documentary evidence of your identity and eligibility for employment in the United States. Such documentation must be provided to the Company within 3 business days of your date of hire, or the Company’s employment relationship with you may be terminated. </w:t>
      </w:r>
    </w:p>
    <w:p>
      <w:pPr>
        <w:pStyle w:val="TextBody"/>
        <w:bidi w:val="0"/>
        <w:spacing w:lineRule="auto" w:line="288" w:before="120" w:after="240"/>
        <w:ind w:left="0" w:right="0" w:hanging="360"/>
        <w:jc w:val="both"/>
        <w:rPr/>
      </w:pPr>
      <w:r>
        <w:rPr>
          <w:rFonts w:ascii="Times New Roman;serif" w:hAnsi="Times New Roman;serif"/>
          <w:b w:val="false"/>
          <w:color w:val="000000"/>
          <w:sz w:val="24"/>
        </w:rPr>
        <w:t>6.    </w:t>
      </w:r>
      <w:r>
        <w:rPr>
          <w:rFonts w:ascii="Times New Roman;serif" w:hAnsi="Times New Roman;serif"/>
          <w:b/>
          <w:color w:val="000000"/>
          <w:sz w:val="24"/>
        </w:rPr>
        <w:t>Company’s Rules &amp; Standards</w:t>
      </w:r>
      <w:r>
        <w:rPr>
          <w:rFonts w:ascii="Times New Roman;serif" w:hAnsi="Times New Roman;serif"/>
          <w:b w:val="false"/>
          <w:color w:val="000000"/>
          <w:sz w:val="24"/>
        </w:rPr>
        <w:t>. As a Company employee, you will be expected to abide by the Company’s rules and standards. Specifically, you will be required to sign an acknowledgment that you have read and that you understand the Company’s rules of conduct which are included in the Company Handbook.</w:t>
      </w:r>
    </w:p>
    <w:p>
      <w:pPr>
        <w:pStyle w:val="TextBody"/>
        <w:bidi w:val="0"/>
        <w:spacing w:lineRule="auto" w:line="288" w:before="120" w:after="240"/>
        <w:ind w:left="0" w:right="0" w:hanging="360"/>
        <w:jc w:val="both"/>
        <w:rPr/>
      </w:pPr>
      <w:r>
        <w:rPr>
          <w:rFonts w:ascii="Times New Roman;serif" w:hAnsi="Times New Roman;serif"/>
          <w:b w:val="false"/>
          <w:color w:val="000000"/>
          <w:sz w:val="24"/>
        </w:rPr>
        <w:t>7.    </w:t>
      </w:r>
      <w:r>
        <w:rPr>
          <w:rFonts w:ascii="Times New Roman;serif" w:hAnsi="Times New Roman;serif"/>
          <w:b/>
          <w:color w:val="000000"/>
          <w:sz w:val="24"/>
        </w:rPr>
        <w:t>Prior Employment/Third Party Information</w:t>
      </w:r>
      <w:r>
        <w:rPr>
          <w:rFonts w:ascii="Times New Roman;serif" w:hAnsi="Times New Roman;serif"/>
          <w:b w:val="false"/>
          <w:color w:val="000000"/>
          <w:sz w:val="24"/>
        </w:rPr>
        <w:t>. We ask that, if you have not already done so, you disclose to the Company any and all agreements relating to your prior employment that may affect your eligibility to be employed by the Company or limit the manner in which you may be employed. It is the Company’s understanding that any such agreements will not prevent you from performing the duties of your position and you represent that such is the case. Similarly, you agree not to bring any third-party confidential information to the Company, including that of your former employer, and that you will not in any way utilize any such information in performing your duties for the Company.</w:t>
      </w:r>
    </w:p>
    <w:p>
      <w:pPr>
        <w:pStyle w:val="TextBody"/>
        <w:bidi w:val="0"/>
        <w:spacing w:lineRule="auto" w:line="288" w:before="0" w:after="240"/>
        <w:ind w:left="0" w:right="0" w:hanging="360"/>
        <w:jc w:val="both"/>
        <w:rPr/>
      </w:pPr>
      <w:r>
        <w:rPr>
          <w:rFonts w:ascii="Times New Roman;serif" w:hAnsi="Times New Roman;serif"/>
          <w:b w:val="false"/>
          <w:color w:val="000000"/>
          <w:sz w:val="24"/>
        </w:rPr>
        <w:t>8.    </w:t>
      </w:r>
      <w:r>
        <w:rPr>
          <w:rFonts w:ascii="Times New Roman;serif" w:hAnsi="Times New Roman;serif"/>
          <w:b/>
          <w:color w:val="000000"/>
          <w:sz w:val="24"/>
        </w:rPr>
        <w:t>Confidentiality Agreement</w:t>
      </w:r>
      <w:r>
        <w:rPr>
          <w:rFonts w:ascii="Times New Roman;serif" w:hAnsi="Times New Roman;serif"/>
          <w:b w:val="false"/>
          <w:color w:val="000000"/>
          <w:sz w:val="24"/>
        </w:rPr>
        <w:t>. As a condition of your employment, you are also required to sign and comply with an At Will Employment, Confidential Information, Invention Assignment and Arbitration Agreement (the “</w:t>
      </w:r>
      <w:r>
        <w:rPr>
          <w:rFonts w:ascii="Times New Roman;serif" w:hAnsi="Times New Roman;serif"/>
          <w:b/>
          <w:color w:val="000000"/>
          <w:sz w:val="24"/>
        </w:rPr>
        <w:t>Confidentiality Agreement</w:t>
      </w:r>
      <w:r>
        <w:rPr>
          <w:color w:val="000000"/>
        </w:rPr>
        <w:t>”</w:t>
      </w:r>
      <w:r>
        <w:rPr>
          <w:rFonts w:ascii="Times New Roman;serif" w:hAnsi="Times New Roman;serif"/>
          <w:b w:val="false"/>
          <w:color w:val="000000"/>
          <w:sz w:val="24"/>
        </w:rPr>
        <w:t xml:space="preserve">) which requires,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05790"/>
                <wp:effectExtent l="0" t="0" r="0" b="0"/>
                <wp:wrapNone/>
                <wp:docPr id="160" name="Frame150"/>
                <a:graphic xmlns:a="http://schemas.openxmlformats.org/drawingml/2006/main">
                  <a:graphicData uri="http://schemas.microsoft.com/office/word/2010/wordprocessingShape">
                    <wps:wsp>
                      <wps:cNvSpPr txBox="1"/>
                      <wps:spPr>
                        <a:xfrm>
                          <a:off x="0" y="0"/>
                          <a:ext cx="6480175" cy="605790"/>
                        </a:xfrm>
                        <a:prstGeom prst="rect"/>
                        <a:solidFill>
                          <a:srgbClr val="FFFFFF"/>
                        </a:solidFill>
                      </wps:spPr>
                      <wps:txbx>
                        <w:txbxContent>
                          <w:p>
                            <w:pPr>
                              <w:pStyle w:val="TextBody"/>
                              <w:bidi w:val="0"/>
                              <w:spacing w:before="0" w:after="0"/>
                              <w:jc w:val="center"/>
                              <w:rPr/>
                            </w:pPr>
                            <w:r>
                              <w:rPr/>
                              <w:drawing>
                                <wp:inline distT="0" distB="0" distL="0" distR="0">
                                  <wp:extent cx="5943600" cy="14605"/>
                                  <wp:effectExtent l="0" t="0" r="0" b="0"/>
                                  <wp:docPr id="16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9" descr=""/>
                                          <pic:cNvPicPr>
                                            <a:picLocks noChangeAspect="1" noChangeArrowheads="1"/>
                                          </pic:cNvPicPr>
                                        </pic:nvPicPr>
                                        <pic:blipFill>
                                          <a:blip r:embed="rId57"/>
                                          <a:stretch>
                                            <a:fillRect/>
                                          </a:stretch>
                                        </pic:blipFill>
                                        <pic:spPr bwMode="auto">
                                          <a:xfrm>
                                            <a:off x="0" y="0"/>
                                            <a:ext cx="5943600" cy="14605"/>
                                          </a:xfrm>
                                          <a:prstGeom prst="rect">
                                            <a:avLst/>
                                          </a:prstGeom>
                                        </pic:spPr>
                                      </pic:pic>
                                    </a:graphicData>
                                  </a:graphic>
                                </wp:inline>
                              </w:drawing>
                            </w:r>
                            <w:r>
                              <w:br w:type="page"/>
                            </w:r>
                          </w:p>
                          <w:p>
                            <w:pPr>
                              <w:pStyle w:val="TextBody"/>
                              <w:bidi w:val="0"/>
                              <w:spacing w:before="0" w:after="0"/>
                              <w:jc w:val="center"/>
                              <w:rPr/>
                            </w:pPr>
                            <w:r>
                              <w:rPr/>
                            </w:r>
                          </w:p>
                          <w:p>
                            <w:pPr>
                              <w:pStyle w:val="TextBody"/>
                              <w:bidi w:val="0"/>
                              <w:spacing w:lineRule="auto" w:line="288" w:before="0" w:after="0"/>
                              <w:jc w:val="center"/>
                              <w:rPr>
                                <w:rFonts w:ascii="DM Sans;sans-serif" w:hAnsi="DM Sans;sans-serif"/>
                                <w:b/>
                                <w:color w:val="000000"/>
                                <w:sz w:val="20"/>
                              </w:rPr>
                            </w:pPr>
                            <w:r>
                              <w:rPr>
                                <w:rFonts w:ascii="DM Sans;sans-serif" w:hAnsi="DM Sans;sans-serif"/>
                                <w:b/>
                                <w:color w:val="000000"/>
                                <w:sz w:val="20"/>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5943600" cy="14605"/>
                            <wp:effectExtent l="0" t="0" r="0" b="0"/>
                            <wp:docPr id="16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9" descr=""/>
                                    <pic:cNvPicPr>
                                      <a:picLocks noChangeAspect="1" noChangeArrowheads="1"/>
                                    </pic:cNvPicPr>
                                  </pic:nvPicPr>
                                  <pic:blipFill>
                                    <a:blip r:embed="rId58"/>
                                    <a:stretch>
                                      <a:fillRect/>
                                    </a:stretch>
                                  </pic:blipFill>
                                  <pic:spPr bwMode="auto">
                                    <a:xfrm>
                                      <a:off x="0" y="0"/>
                                      <a:ext cx="5943600" cy="1460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DM Sans;sans-serif" w:hAnsi="DM Sans;sans-serif"/>
                          <w:b/>
                          <w:color w:val="000000"/>
                          <w:sz w:val="20"/>
                        </w:rPr>
                      </w:pPr>
                      <w:r>
                        <w:rPr>
                          <w:rFonts w:ascii="DM Sans;sans-serif" w:hAnsi="DM Sans;sans-serif"/>
                          <w:b/>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among other provisions, the assignment of patent rights to any invention made during your employment at the Company, and non-disclosure of Company proprietary information. Please note that we must receive your signed Confidentiality Agreement on or before your first day of employment.</w:t>
      </w:r>
    </w:p>
    <w:p>
      <w:pPr>
        <w:pStyle w:val="TextBody"/>
        <w:bidi w:val="0"/>
        <w:spacing w:lineRule="auto" w:line="288" w:before="120" w:after="240"/>
        <w:ind w:left="0" w:right="0" w:hanging="360"/>
        <w:jc w:val="both"/>
        <w:rPr/>
      </w:pPr>
      <w:r>
        <w:rPr>
          <w:rFonts w:ascii="Times New Roman;serif" w:hAnsi="Times New Roman;serif"/>
          <w:b w:val="false"/>
          <w:color w:val="000000"/>
          <w:sz w:val="24"/>
        </w:rPr>
        <w:t>9.    </w:t>
      </w:r>
      <w:r>
        <w:rPr>
          <w:rFonts w:ascii="Times New Roman;serif" w:hAnsi="Times New Roman;serif"/>
          <w:b/>
          <w:color w:val="000000"/>
          <w:sz w:val="24"/>
        </w:rPr>
        <w:t>At-Will Employment.</w:t>
      </w:r>
      <w:r>
        <w:rPr>
          <w:color w:val="000000"/>
        </w:rPr>
        <w:t xml:space="preserve"> </w:t>
      </w:r>
      <w:r>
        <w:rPr>
          <w:rFonts w:ascii="Times New Roman;serif" w:hAnsi="Times New Roman;serif"/>
          <w:b w:val="false"/>
          <w:color w:val="000000"/>
          <w:sz w:val="24"/>
        </w:rPr>
        <w:t>You acknowledge and agree that your employment with the Company will be “at-will” employment and may be terminated at any time with or without cause or notice. You understand and agree that neither your job performance nor commendations, bonuses, or the like from the Company give rise to or in any way serve as the basis for modification, amendment, or extension, by implication or otherwise, of your employment with the Company. You further acknowledge and agree that the Company, may modify job titles, salaries and benefits from time to time as it deems necessary. However, as described in this Agreement, you may be eligible to receive severance benefits under the Severance Documents depending on the circumstances of the termination of your employment.</w:t>
      </w:r>
    </w:p>
    <w:p>
      <w:pPr>
        <w:pStyle w:val="TextBody"/>
        <w:bidi w:val="0"/>
        <w:spacing w:lineRule="auto" w:line="288" w:before="120" w:after="240"/>
        <w:ind w:left="0" w:right="0" w:hanging="360"/>
        <w:jc w:val="both"/>
        <w:rPr/>
      </w:pPr>
      <w:r>
        <w:rPr>
          <w:rFonts w:ascii="Times New Roman;serif" w:hAnsi="Times New Roman;serif"/>
          <w:b w:val="false"/>
          <w:color w:val="000000"/>
          <w:sz w:val="24"/>
        </w:rPr>
        <w:t>10.    </w:t>
      </w:r>
      <w:r>
        <w:rPr>
          <w:rFonts w:ascii="Times New Roman;serif" w:hAnsi="Times New Roman;serif"/>
          <w:b/>
          <w:color w:val="000000"/>
          <w:sz w:val="24"/>
        </w:rPr>
        <w:t>Tax Matters</w:t>
      </w:r>
      <w:r>
        <w:rPr>
          <w:rFonts w:ascii="Times New Roman;serif" w:hAnsi="Times New Roman;serif"/>
          <w:b w:val="false"/>
          <w:color w:val="000000"/>
          <w:sz w:val="24"/>
        </w:rPr>
        <w:t>.</w:t>
      </w:r>
    </w:p>
    <w:p>
      <w:pPr>
        <w:pStyle w:val="TextBody"/>
        <w:bidi w:val="0"/>
        <w:spacing w:lineRule="auto" w:line="288" w:before="120" w:after="240"/>
        <w:ind w:left="0" w:right="0" w:hanging="360"/>
        <w:jc w:val="both"/>
        <w:rPr/>
      </w:pPr>
      <w:r>
        <w:rPr>
          <w:rFonts w:ascii="Times New Roman;serif" w:hAnsi="Times New Roman;serif"/>
          <w:b w:val="false"/>
          <w:color w:val="000000"/>
          <w:sz w:val="24"/>
        </w:rPr>
        <w:t>(a)    </w:t>
      </w:r>
      <w:r>
        <w:rPr>
          <w:rFonts w:ascii="Times New Roman;serif" w:hAnsi="Times New Roman;serif"/>
          <w:b/>
          <w:color w:val="000000"/>
          <w:sz w:val="24"/>
        </w:rPr>
        <w:t>Withholding</w:t>
      </w:r>
      <w:r>
        <w:rPr>
          <w:rFonts w:ascii="Times New Roman;serif" w:hAnsi="Times New Roman;serif"/>
          <w:b w:val="false"/>
          <w:color w:val="000000"/>
          <w:sz w:val="24"/>
        </w:rPr>
        <w:t>. All payments made under this Agreement shall be subject to reduction to reflect taxes or other charges required to be withheld by law, and you will be solely responsible for any and all taxes arising in connection with this Agreement and compensation paid or payable to you, including but not limited to any taxes, penalties and interest, if any, arising under Section 409A.</w:t>
      </w:r>
    </w:p>
    <w:p>
      <w:pPr>
        <w:pStyle w:val="TextBody"/>
        <w:bidi w:val="0"/>
        <w:spacing w:lineRule="auto" w:line="288" w:before="120" w:after="240"/>
        <w:ind w:left="0" w:right="0" w:hanging="360"/>
        <w:jc w:val="both"/>
        <w:rPr/>
      </w:pPr>
      <w:r>
        <w:rPr>
          <w:rFonts w:ascii="Times New Roman;serif" w:hAnsi="Times New Roman;serif"/>
          <w:b w:val="false"/>
          <w:color w:val="000000"/>
          <w:sz w:val="24"/>
        </w:rPr>
        <w:t>(b)    </w:t>
      </w:r>
      <w:r>
        <w:rPr>
          <w:rFonts w:ascii="Times New Roman;serif" w:hAnsi="Times New Roman;serif"/>
          <w:b/>
          <w:color w:val="000000"/>
          <w:sz w:val="24"/>
        </w:rPr>
        <w:t>Section 409A</w:t>
      </w:r>
      <w:r>
        <w:rPr>
          <w:rFonts w:ascii="Times New Roman;serif" w:hAnsi="Times New Roman;serif"/>
          <w:b w:val="false"/>
          <w:color w:val="000000"/>
          <w:sz w:val="24"/>
        </w:rPr>
        <w:t>. The Company intends that all payments and benefits provided under this Agreement or otherwise are exempt from, or comply with, the requirements of Section 409A of the Internal Revenue Code of 1986, as amended, and any final regulations and guidance thereunder and any applicable state law equivalent, as each may be amended or promulgated from time to time (“</w:t>
      </w:r>
      <w:r>
        <w:rPr>
          <w:rFonts w:ascii="Times New Roman;serif" w:hAnsi="Times New Roman;serif"/>
          <w:b/>
          <w:color w:val="000000"/>
          <w:sz w:val="24"/>
        </w:rPr>
        <w:t>Section 409A</w:t>
      </w:r>
      <w:r>
        <w:rPr>
          <w:color w:val="000000"/>
        </w:rPr>
        <w:t>”</w:t>
      </w:r>
      <w:r>
        <w:rPr>
          <w:rFonts w:ascii="Times New Roman;serif" w:hAnsi="Times New Roman;serif"/>
          <w:b w:val="false"/>
          <w:color w:val="000000"/>
          <w:sz w:val="24"/>
        </w:rPr>
        <w:t xml:space="preserve">) so that none of the payments or benefits will be subject to the additional tax imposed under Section 409A, and any ambiguities will be interpreted to so be exempt or comply. Each payment and benefit payable under this Agreement is intended to constitute a separate payment for purposes of Section 1.409A-2(b)(2) of the Treasury Regulations. </w:t>
      </w:r>
    </w:p>
    <w:p>
      <w:pPr>
        <w:pStyle w:val="TextBody"/>
        <w:bidi w:val="0"/>
        <w:spacing w:lineRule="auto" w:line="288" w:before="120" w:after="240"/>
        <w:ind w:left="0" w:right="0" w:hanging="360"/>
        <w:jc w:val="both"/>
        <w:rPr/>
      </w:pPr>
      <w:r>
        <w:rPr>
          <w:rFonts w:ascii="Times New Roman;serif" w:hAnsi="Times New Roman;serif"/>
          <w:b w:val="false"/>
          <w:color w:val="000000"/>
          <w:sz w:val="24"/>
        </w:rPr>
        <w:t>(c)    </w:t>
      </w:r>
      <w:r>
        <w:rPr>
          <w:rFonts w:ascii="Times New Roman;serif" w:hAnsi="Times New Roman;serif"/>
          <w:b/>
          <w:color w:val="000000"/>
          <w:sz w:val="24"/>
        </w:rPr>
        <w:t>Tax Advice</w:t>
      </w:r>
      <w:r>
        <w:rPr>
          <w:rFonts w:ascii="Times New Roman;serif" w:hAnsi="Times New Roman;serif"/>
          <w:b w:val="false"/>
          <w:color w:val="000000"/>
          <w:sz w:val="24"/>
        </w:rPr>
        <w:t xml:space="preserve">. You are encouraged to obtain your own tax advice regarding your compensation from the Company. You agree that the Company does not have a duty to design its compensation policies in a manner that minimizes your tax liabilities.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05790"/>
                <wp:effectExtent l="0" t="0" r="0" b="0"/>
                <wp:wrapNone/>
                <wp:docPr id="163" name="Frame151"/>
                <a:graphic xmlns:a="http://schemas.openxmlformats.org/drawingml/2006/main">
                  <a:graphicData uri="http://schemas.microsoft.com/office/word/2010/wordprocessingShape">
                    <wps:wsp>
                      <wps:cNvSpPr txBox="1"/>
                      <wps:spPr>
                        <a:xfrm>
                          <a:off x="0" y="0"/>
                          <a:ext cx="6480175" cy="605790"/>
                        </a:xfrm>
                        <a:prstGeom prst="rect"/>
                        <a:solidFill>
                          <a:srgbClr val="FFFFFF"/>
                        </a:solidFill>
                      </wps:spPr>
                      <wps:txbx>
                        <w:txbxContent>
                          <w:p>
                            <w:pPr>
                              <w:pStyle w:val="TextBody"/>
                              <w:bidi w:val="0"/>
                              <w:spacing w:before="0" w:after="0"/>
                              <w:jc w:val="center"/>
                              <w:rPr/>
                            </w:pPr>
                            <w:r>
                              <w:rPr/>
                              <w:drawing>
                                <wp:inline distT="0" distB="0" distL="0" distR="0">
                                  <wp:extent cx="5943600" cy="14605"/>
                                  <wp:effectExtent l="0" t="0" r="0" b="0"/>
                                  <wp:docPr id="16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0" descr=""/>
                                          <pic:cNvPicPr>
                                            <a:picLocks noChangeAspect="1" noChangeArrowheads="1"/>
                                          </pic:cNvPicPr>
                                        </pic:nvPicPr>
                                        <pic:blipFill>
                                          <a:blip r:embed="rId59"/>
                                          <a:stretch>
                                            <a:fillRect/>
                                          </a:stretch>
                                        </pic:blipFill>
                                        <pic:spPr bwMode="auto">
                                          <a:xfrm>
                                            <a:off x="0" y="0"/>
                                            <a:ext cx="5943600" cy="14605"/>
                                          </a:xfrm>
                                          <a:prstGeom prst="rect">
                                            <a:avLst/>
                                          </a:prstGeom>
                                        </pic:spPr>
                                      </pic:pic>
                                    </a:graphicData>
                                  </a:graphic>
                                </wp:inline>
                              </w:drawing>
                            </w:r>
                            <w:r>
                              <w:br w:type="page"/>
                            </w:r>
                          </w:p>
                          <w:p>
                            <w:pPr>
                              <w:pStyle w:val="TextBody"/>
                              <w:bidi w:val="0"/>
                              <w:spacing w:before="0" w:after="0"/>
                              <w:jc w:val="center"/>
                              <w:rPr/>
                            </w:pPr>
                            <w:r>
                              <w:rPr/>
                            </w:r>
                          </w:p>
                          <w:p>
                            <w:pPr>
                              <w:pStyle w:val="TextBody"/>
                              <w:bidi w:val="0"/>
                              <w:spacing w:lineRule="auto" w:line="288" w:before="0" w:after="0"/>
                              <w:jc w:val="center"/>
                              <w:rPr>
                                <w:rFonts w:ascii="DM Sans;sans-serif" w:hAnsi="DM Sans;sans-serif"/>
                                <w:b/>
                                <w:color w:val="000000"/>
                                <w:sz w:val="20"/>
                              </w:rPr>
                            </w:pPr>
                            <w:r>
                              <w:rPr>
                                <w:rFonts w:ascii="DM Sans;sans-serif" w:hAnsi="DM Sans;sans-serif"/>
                                <w:b/>
                                <w:color w:val="000000"/>
                                <w:sz w:val="20"/>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5943600" cy="14605"/>
                            <wp:effectExtent l="0" t="0" r="0" b="0"/>
                            <wp:docPr id="16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0" descr=""/>
                                    <pic:cNvPicPr>
                                      <a:picLocks noChangeAspect="1" noChangeArrowheads="1"/>
                                    </pic:cNvPicPr>
                                  </pic:nvPicPr>
                                  <pic:blipFill>
                                    <a:blip r:embed="rId60"/>
                                    <a:stretch>
                                      <a:fillRect/>
                                    </a:stretch>
                                  </pic:blipFill>
                                  <pic:spPr bwMode="auto">
                                    <a:xfrm>
                                      <a:off x="0" y="0"/>
                                      <a:ext cx="5943600" cy="1460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DM Sans;sans-serif" w:hAnsi="DM Sans;sans-serif"/>
                          <w:b/>
                          <w:color w:val="000000"/>
                          <w:sz w:val="20"/>
                        </w:rPr>
                      </w:pPr>
                      <w:r>
                        <w:rPr>
                          <w:rFonts w:ascii="DM Sans;sans-serif" w:hAnsi="DM Sans;sans-serif"/>
                          <w:b/>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both"/>
        <w:rPr/>
      </w:pPr>
      <w:r>
        <w:rPr>
          <w:rFonts w:ascii="Times New Roman;serif" w:hAnsi="Times New Roman;serif"/>
          <w:b w:val="false"/>
          <w:color w:val="000000"/>
          <w:sz w:val="24"/>
        </w:rPr>
        <w:t>11.    </w:t>
      </w:r>
      <w:r>
        <w:rPr>
          <w:rFonts w:ascii="Times New Roman;serif" w:hAnsi="Times New Roman;serif"/>
          <w:b/>
          <w:color w:val="000000"/>
          <w:sz w:val="24"/>
        </w:rPr>
        <w:t>Entire Agreement, Amendment and Enforcement</w:t>
      </w:r>
      <w:r>
        <w:rPr>
          <w:rFonts w:ascii="Times New Roman;serif" w:hAnsi="Times New Roman;serif"/>
          <w:b w:val="false"/>
          <w:color w:val="000000"/>
          <w:sz w:val="24"/>
        </w:rPr>
        <w:t>. This Agreement, the Severance Documents and the Confidentiality Agreement supersede and replace any prior agreements, representations or understandings (whether written, oral, implied or otherwise) between you and the Company, and constitute the complete agreement between you and the Company regarding the subject matter set forth herein. This Agreement may not be amended or modified, except by an express written agreement signed by both you and a duly authorized officer of the Company. The validity, interpretation, construction and performance of this Agreement shall be governed by the laws of the State of California without regard to the principles of conflict of laws thereof.</w:t>
      </w:r>
    </w:p>
    <w:p>
      <w:pPr>
        <w:pStyle w:val="TextBody"/>
        <w:bidi w:val="0"/>
        <w:spacing w:lineRule="auto" w:line="288" w:before="0" w:after="240"/>
        <w:ind w:left="0" w:right="0" w:hanging="360"/>
        <w:jc w:val="both"/>
        <w:rPr/>
      </w:pPr>
      <w:r>
        <w:rPr>
          <w:rFonts w:ascii="Times New Roman;serif" w:hAnsi="Times New Roman;serif"/>
          <w:b w:val="false"/>
          <w:color w:val="000000"/>
          <w:sz w:val="24"/>
        </w:rPr>
        <w:t>12.    </w:t>
      </w:r>
      <w:r>
        <w:rPr>
          <w:rFonts w:ascii="Times New Roman;serif" w:hAnsi="Times New Roman;serif"/>
          <w:b/>
          <w:color w:val="000000"/>
          <w:sz w:val="24"/>
        </w:rPr>
        <w:t>Miscellaneous</w:t>
      </w:r>
      <w:r>
        <w:rPr>
          <w:rFonts w:ascii="Times New Roman;serif" w:hAnsi="Times New Roman;serif"/>
          <w:b w:val="false"/>
          <w:color w:val="000000"/>
          <w:sz w:val="24"/>
        </w:rPr>
        <w:t>.</w:t>
      </w:r>
    </w:p>
    <w:p>
      <w:pPr>
        <w:pStyle w:val="TextBody"/>
        <w:bidi w:val="0"/>
        <w:spacing w:lineRule="auto" w:line="288" w:before="0" w:after="240"/>
        <w:ind w:left="0" w:right="0" w:hanging="360"/>
        <w:jc w:val="both"/>
        <w:rPr/>
      </w:pPr>
      <w:r>
        <w:rPr>
          <w:rFonts w:ascii="Times New Roman;serif" w:hAnsi="Times New Roman;serif"/>
          <w:b w:val="false"/>
          <w:color w:val="000000"/>
          <w:sz w:val="24"/>
        </w:rPr>
        <w:t>(a)    </w:t>
      </w:r>
      <w:r>
        <w:rPr>
          <w:rFonts w:ascii="Times New Roman;serif" w:hAnsi="Times New Roman;serif"/>
          <w:b/>
          <w:color w:val="000000"/>
          <w:sz w:val="24"/>
        </w:rPr>
        <w:t>Arbitration.</w:t>
      </w:r>
      <w:r>
        <w:rPr>
          <w:color w:val="000000"/>
        </w:rPr>
        <w:t xml:space="preserve"> </w:t>
      </w:r>
      <w:r>
        <w:rPr>
          <w:rFonts w:ascii="Times New Roman;serif" w:hAnsi="Times New Roman;serif"/>
          <w:b w:val="false"/>
          <w:color w:val="000000"/>
          <w:sz w:val="24"/>
        </w:rPr>
        <w:t>You agree that any and all controversies, claims, or disputes with anyone (including the Company and any employee, officer, director, stockholder or benefit plan of the Company in their capacity as such or otherwise) arising out of, relating to, or resulting from your service to the Company, will be subject to arbitration in accordance with the provisions of the Confidentiality Agreement.</w:t>
      </w:r>
    </w:p>
    <w:p>
      <w:pPr>
        <w:pStyle w:val="TextBody"/>
        <w:bidi w:val="0"/>
        <w:spacing w:lineRule="auto" w:line="288" w:before="0" w:after="240"/>
        <w:ind w:left="0" w:right="0" w:hanging="360"/>
        <w:jc w:val="both"/>
        <w:rPr/>
      </w:pPr>
      <w:r>
        <w:rPr>
          <w:rFonts w:ascii="Times New Roman;serif" w:hAnsi="Times New Roman;serif"/>
          <w:b w:val="false"/>
          <w:color w:val="000000"/>
          <w:sz w:val="24"/>
        </w:rPr>
        <w:t>(b)    </w:t>
      </w:r>
      <w:r>
        <w:rPr>
          <w:rFonts w:ascii="Times New Roman;serif" w:hAnsi="Times New Roman;serif"/>
          <w:b/>
          <w:color w:val="000000"/>
          <w:sz w:val="24"/>
        </w:rPr>
        <w:t>Successors.</w:t>
      </w:r>
      <w:r>
        <w:rPr>
          <w:color w:val="000000"/>
        </w:rPr>
        <w:t xml:space="preserve"> </w:t>
      </w:r>
      <w:r>
        <w:rPr>
          <w:rFonts w:ascii="Times New Roman;serif" w:hAnsi="Times New Roman;serif"/>
          <w:b w:val="false"/>
          <w:color w:val="000000"/>
          <w:sz w:val="24"/>
        </w:rPr>
        <w:t xml:space="preserve">In addition to any obligations imposed by law upon any successor to the Company, 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w:t>
      </w:r>
    </w:p>
    <w:p>
      <w:pPr>
        <w:pStyle w:val="TextBody"/>
        <w:bidi w:val="0"/>
        <w:spacing w:lineRule="auto" w:line="288" w:before="0" w:after="240"/>
        <w:ind w:left="0" w:right="0" w:hanging="360"/>
        <w:jc w:val="both"/>
        <w:rPr/>
      </w:pPr>
      <w:r>
        <w:rPr>
          <w:rFonts w:ascii="Times New Roman;serif" w:hAnsi="Times New Roman;serif"/>
          <w:b w:val="false"/>
          <w:color w:val="000000"/>
          <w:sz w:val="24"/>
        </w:rPr>
        <w:t>(c)    </w:t>
      </w:r>
      <w:r>
        <w:rPr>
          <w:rFonts w:ascii="Times New Roman;serif" w:hAnsi="Times New Roman;serif"/>
          <w:b/>
          <w:color w:val="000000"/>
          <w:sz w:val="24"/>
        </w:rPr>
        <w:t>Validity.</w:t>
      </w:r>
      <w:r>
        <w:rPr>
          <w:color w:val="000000"/>
        </w:rPr>
        <w:t xml:space="preserve"> </w:t>
      </w:r>
      <w:r>
        <w:rPr>
          <w:rFonts w:ascii="Times New Roman;serif" w:hAnsi="Times New Roman;serif"/>
          <w:b w:val="false"/>
          <w:color w:val="000000"/>
          <w:sz w:val="24"/>
        </w:rPr>
        <w:t xml:space="preserve">The invalidity or unenforceability of any provision of this Agreement shall not affect the validity or enforceability of any other provision of this Agreement, which shall remain in full force and effect. </w:t>
      </w:r>
    </w:p>
    <w:p>
      <w:pPr>
        <w:pStyle w:val="TextBody"/>
        <w:bidi w:val="0"/>
        <w:spacing w:lineRule="auto" w:line="288" w:before="0" w:after="240"/>
        <w:ind w:left="0" w:right="0" w:hanging="360"/>
        <w:jc w:val="both"/>
        <w:rPr/>
      </w:pPr>
      <w:r>
        <w:rPr>
          <w:rFonts w:ascii="Times New Roman;serif" w:hAnsi="Times New Roman;serif"/>
          <w:b w:val="false"/>
          <w:color w:val="000000"/>
          <w:sz w:val="24"/>
        </w:rPr>
        <w:t>(d)    </w:t>
      </w:r>
      <w:r>
        <w:rPr>
          <w:rFonts w:ascii="Times New Roman;serif" w:hAnsi="Times New Roman;serif"/>
          <w:b/>
          <w:color w:val="000000"/>
          <w:sz w:val="24"/>
        </w:rPr>
        <w:t>Counterparts.</w:t>
      </w:r>
      <w:r>
        <w:rPr>
          <w:color w:val="000000"/>
        </w:rPr>
        <w:t xml:space="preserve"> </w:t>
      </w:r>
      <w:r>
        <w:rPr>
          <w:rFonts w:ascii="Times New Roman;serif" w:hAnsi="Times New Roman;serif"/>
          <w:b w:val="false"/>
          <w:color w:val="000000"/>
          <w:sz w:val="24"/>
        </w:rPr>
        <w:t xml:space="preserve">This Agreement may be executed in several counterparts, each of which shall be deemed to be an original but all of which together will constitute one and the same instrument. </w:t>
      </w:r>
    </w:p>
    <w:p>
      <w:pPr>
        <w:pStyle w:val="TextBody"/>
        <w:bidi w:val="0"/>
        <w:spacing w:lineRule="auto" w:line="288" w:before="0" w:after="240"/>
        <w:ind w:left="0" w:right="0" w:hanging="360"/>
        <w:jc w:val="both"/>
        <w:rPr/>
      </w:pPr>
      <w:r>
        <w:rPr>
          <w:rFonts w:ascii="Times New Roman;serif" w:hAnsi="Times New Roman;serif"/>
          <w:b w:val="false"/>
          <w:color w:val="000000"/>
          <w:sz w:val="24"/>
        </w:rPr>
        <w:t>(e)    </w:t>
      </w:r>
      <w:r>
        <w:rPr>
          <w:rFonts w:ascii="Times New Roman;serif" w:hAnsi="Times New Roman;serif"/>
          <w:b/>
          <w:color w:val="000000"/>
          <w:sz w:val="24"/>
        </w:rPr>
        <w:t>Acknowledgment</w:t>
      </w:r>
      <w:r>
        <w:rPr>
          <w:rFonts w:ascii="Times New Roman;serif" w:hAnsi="Times New Roman;serif"/>
          <w:b w:val="false"/>
          <w:color w:val="000000"/>
          <w:sz w:val="24"/>
        </w:rPr>
        <w:t>. You acknowledge that you have had the opportunity to discuss this Agreement with and obtain advice from your private attorney, have had sufficient time to, and have carefully read and fully understand all the provisions of this Agreement, and are knowingly and voluntarily entering into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05790"/>
                <wp:effectExtent l="0" t="0" r="0" b="0"/>
                <wp:wrapNone/>
                <wp:docPr id="166" name="Frame152"/>
                <a:graphic xmlns:a="http://schemas.openxmlformats.org/drawingml/2006/main">
                  <a:graphicData uri="http://schemas.microsoft.com/office/word/2010/wordprocessingShape">
                    <wps:wsp>
                      <wps:cNvSpPr txBox="1"/>
                      <wps:spPr>
                        <a:xfrm>
                          <a:off x="0" y="0"/>
                          <a:ext cx="6480175" cy="605790"/>
                        </a:xfrm>
                        <a:prstGeom prst="rect"/>
                        <a:solidFill>
                          <a:srgbClr val="FFFFFF"/>
                        </a:solidFill>
                      </wps:spPr>
                      <wps:txbx>
                        <w:txbxContent>
                          <w:p>
                            <w:pPr>
                              <w:pStyle w:val="TextBody"/>
                              <w:bidi w:val="0"/>
                              <w:spacing w:before="0" w:after="0"/>
                              <w:jc w:val="center"/>
                              <w:rPr/>
                            </w:pPr>
                            <w:r>
                              <w:rPr/>
                              <w:drawing>
                                <wp:inline distT="0" distB="0" distL="0" distR="0">
                                  <wp:extent cx="5943600" cy="14605"/>
                                  <wp:effectExtent l="0" t="0" r="0" b="0"/>
                                  <wp:docPr id="16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1" descr=""/>
                                          <pic:cNvPicPr>
                                            <a:picLocks noChangeAspect="1" noChangeArrowheads="1"/>
                                          </pic:cNvPicPr>
                                        </pic:nvPicPr>
                                        <pic:blipFill>
                                          <a:blip r:embed="rId61"/>
                                          <a:stretch>
                                            <a:fillRect/>
                                          </a:stretch>
                                        </pic:blipFill>
                                        <pic:spPr bwMode="auto">
                                          <a:xfrm>
                                            <a:off x="0" y="0"/>
                                            <a:ext cx="5943600" cy="14605"/>
                                          </a:xfrm>
                                          <a:prstGeom prst="rect">
                                            <a:avLst/>
                                          </a:prstGeom>
                                        </pic:spPr>
                                      </pic:pic>
                                    </a:graphicData>
                                  </a:graphic>
                                </wp:inline>
                              </w:drawing>
                            </w:r>
                            <w:r>
                              <w:br w:type="page"/>
                            </w:r>
                          </w:p>
                          <w:p>
                            <w:pPr>
                              <w:pStyle w:val="TextBody"/>
                              <w:bidi w:val="0"/>
                              <w:spacing w:before="0" w:after="0"/>
                              <w:jc w:val="center"/>
                              <w:rPr/>
                            </w:pPr>
                            <w:r>
                              <w:rPr/>
                            </w:r>
                          </w:p>
                          <w:p>
                            <w:pPr>
                              <w:pStyle w:val="TextBody"/>
                              <w:bidi w:val="0"/>
                              <w:spacing w:lineRule="auto" w:line="288" w:before="0" w:after="0"/>
                              <w:jc w:val="center"/>
                              <w:rPr>
                                <w:rFonts w:ascii="DM Sans;sans-serif" w:hAnsi="DM Sans;sans-serif"/>
                                <w:b/>
                                <w:color w:val="000000"/>
                                <w:sz w:val="20"/>
                              </w:rPr>
                            </w:pPr>
                            <w:r>
                              <w:rPr>
                                <w:rFonts w:ascii="DM Sans;sans-serif" w:hAnsi="DM Sans;sans-serif"/>
                                <w:b/>
                                <w:color w:val="000000"/>
                                <w:sz w:val="20"/>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5943600" cy="14605"/>
                            <wp:effectExtent l="0" t="0" r="0" b="0"/>
                            <wp:docPr id="16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1" descr=""/>
                                    <pic:cNvPicPr>
                                      <a:picLocks noChangeAspect="1" noChangeArrowheads="1"/>
                                    </pic:cNvPicPr>
                                  </pic:nvPicPr>
                                  <pic:blipFill>
                                    <a:blip r:embed="rId62"/>
                                    <a:stretch>
                                      <a:fillRect/>
                                    </a:stretch>
                                  </pic:blipFill>
                                  <pic:spPr bwMode="auto">
                                    <a:xfrm>
                                      <a:off x="0" y="0"/>
                                      <a:ext cx="5943600" cy="1460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DM Sans;sans-serif" w:hAnsi="DM Sans;sans-serif"/>
                          <w:b/>
                          <w:color w:val="000000"/>
                          <w:sz w:val="20"/>
                        </w:rPr>
                      </w:pPr>
                      <w:r>
                        <w:rPr>
                          <w:rFonts w:ascii="DM Sans;sans-serif" w:hAnsi="DM Sans;sans-serif"/>
                          <w:b/>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 * * *</w:t>
      </w:r>
    </w:p>
    <w:p>
      <w:pPr>
        <w:pStyle w:val="TextBody"/>
        <w:bidi w:val="0"/>
        <w:spacing w:before="0" w:after="360"/>
        <w:ind w:left="0" w:right="0" w:firstLine="720"/>
        <w:jc w:val="both"/>
        <w:rPr/>
      </w:pPr>
      <w:r>
        <w:rPr/>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05790"/>
                <wp:effectExtent l="0" t="0" r="0" b="0"/>
                <wp:wrapNone/>
                <wp:docPr id="169" name="Frame153"/>
                <a:graphic xmlns:a="http://schemas.openxmlformats.org/drawingml/2006/main">
                  <a:graphicData uri="http://schemas.microsoft.com/office/word/2010/wordprocessingShape">
                    <wps:wsp>
                      <wps:cNvSpPr txBox="1"/>
                      <wps:spPr>
                        <a:xfrm>
                          <a:off x="0" y="0"/>
                          <a:ext cx="6480175" cy="605790"/>
                        </a:xfrm>
                        <a:prstGeom prst="rect"/>
                        <a:solidFill>
                          <a:srgbClr val="FFFFFF"/>
                        </a:solidFill>
                      </wps:spPr>
                      <wps:txbx>
                        <w:txbxContent>
                          <w:p>
                            <w:pPr>
                              <w:pStyle w:val="TextBody"/>
                              <w:bidi w:val="0"/>
                              <w:spacing w:before="0" w:after="0"/>
                              <w:jc w:val="center"/>
                              <w:rPr/>
                            </w:pPr>
                            <w:r>
                              <w:rPr/>
                              <w:drawing>
                                <wp:inline distT="0" distB="0" distL="0" distR="0">
                                  <wp:extent cx="5943600" cy="14605"/>
                                  <wp:effectExtent l="0" t="0" r="0" b="0"/>
                                  <wp:docPr id="17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2" descr=""/>
                                          <pic:cNvPicPr>
                                            <a:picLocks noChangeAspect="1" noChangeArrowheads="1"/>
                                          </pic:cNvPicPr>
                                        </pic:nvPicPr>
                                        <pic:blipFill>
                                          <a:blip r:embed="rId63"/>
                                          <a:stretch>
                                            <a:fillRect/>
                                          </a:stretch>
                                        </pic:blipFill>
                                        <pic:spPr bwMode="auto">
                                          <a:xfrm>
                                            <a:off x="0" y="0"/>
                                            <a:ext cx="5943600" cy="14605"/>
                                          </a:xfrm>
                                          <a:prstGeom prst="rect">
                                            <a:avLst/>
                                          </a:prstGeom>
                                        </pic:spPr>
                                      </pic:pic>
                                    </a:graphicData>
                                  </a:graphic>
                                </wp:inline>
                              </w:drawing>
                            </w:r>
                            <w:r>
                              <w:br w:type="page"/>
                            </w:r>
                          </w:p>
                          <w:p>
                            <w:pPr>
                              <w:pStyle w:val="TextBody"/>
                              <w:bidi w:val="0"/>
                              <w:spacing w:before="0" w:after="0"/>
                              <w:jc w:val="center"/>
                              <w:rPr/>
                            </w:pPr>
                            <w:r>
                              <w:rPr/>
                            </w:r>
                          </w:p>
                          <w:p>
                            <w:pPr>
                              <w:pStyle w:val="TextBody"/>
                              <w:bidi w:val="0"/>
                              <w:spacing w:lineRule="auto" w:line="288" w:before="0" w:after="0"/>
                              <w:jc w:val="center"/>
                              <w:rPr>
                                <w:rFonts w:ascii="DM Sans;sans-serif" w:hAnsi="DM Sans;sans-serif"/>
                                <w:b/>
                                <w:color w:val="000000"/>
                                <w:sz w:val="20"/>
                              </w:rPr>
                            </w:pPr>
                            <w:r>
                              <w:rPr>
                                <w:rFonts w:ascii="DM Sans;sans-serif" w:hAnsi="DM Sans;sans-serif"/>
                                <w:b/>
                                <w:color w:val="000000"/>
                                <w:sz w:val="20"/>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5943600" cy="14605"/>
                            <wp:effectExtent l="0" t="0" r="0" b="0"/>
                            <wp:docPr id="17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2" descr=""/>
                                    <pic:cNvPicPr>
                                      <a:picLocks noChangeAspect="1" noChangeArrowheads="1"/>
                                    </pic:cNvPicPr>
                                  </pic:nvPicPr>
                                  <pic:blipFill>
                                    <a:blip r:embed="rId64"/>
                                    <a:stretch>
                                      <a:fillRect/>
                                    </a:stretch>
                                  </pic:blipFill>
                                  <pic:spPr bwMode="auto">
                                    <a:xfrm>
                                      <a:off x="0" y="0"/>
                                      <a:ext cx="5943600" cy="1460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DM Sans;sans-serif" w:hAnsi="DM Sans;sans-serif"/>
                          <w:b/>
                          <w:color w:val="000000"/>
                          <w:sz w:val="20"/>
                        </w:rPr>
                      </w:pPr>
                      <w:r>
                        <w:rPr>
                          <w:rFonts w:ascii="DM Sans;sans-serif" w:hAnsi="DM Sans;sans-serif"/>
                          <w:b/>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Please indicate your acceptance of this Agreement, and confirmation that it contains our complete agreement regarding the terms and conditions of your employment, by signing the bottom portion of this Agreement and returning a copy to me. If you accept this offer, your first day of employment will be August 25, 2025. This offer of employment will terminate if it is not accepted, signed and returned by August 25, 2025.</w:t>
      </w:r>
    </w:p>
    <w:p>
      <w:pPr>
        <w:pStyle w:val="TextBody"/>
        <w:bidi w:val="0"/>
        <w:spacing w:lineRule="auto" w:line="288" w:before="0" w:after="3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We look forward to your favorable reply and to working with you at Kodiak Robotics, Inc.</w:t>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lineRule="auto" w:line="288" w:before="0" w:after="480"/>
        <w:ind w:left="0" w:right="0" w:firstLine="720"/>
        <w:jc w:val="left"/>
        <w:rPr>
          <w:rFonts w:ascii="Times New Roman;serif" w:hAnsi="Times New Roman;serif"/>
          <w:b/>
          <w:color w:val="000000"/>
          <w:sz w:val="24"/>
        </w:rPr>
      </w:pPr>
      <w:r>
        <w:rPr>
          <w:rFonts w:ascii="Times New Roman;serif" w:hAnsi="Times New Roman;serif"/>
          <w:b/>
          <w:color w:val="000000"/>
          <w:sz w:val="24"/>
        </w:rPr>
        <w:t>KODIAK ROBOTICS, INC.</w:t>
      </w:r>
    </w:p>
    <w:p>
      <w:pPr>
        <w:pStyle w:val="TextBody"/>
        <w:bidi w:val="0"/>
        <w:spacing w:lineRule="auto" w:line="288" w:before="0" w:after="0"/>
        <w:ind w:left="0" w:right="0" w:firstLine="72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Don Burnette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Don Burnette</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4"/>
        </w:rPr>
        <w:t>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480"/>
        <w:ind w:left="0" w:right="0" w:firstLine="720"/>
        <w:jc w:val="both"/>
        <w:rPr/>
      </w:pPr>
      <w:r>
        <w:rPr/>
      </w:r>
    </w:p>
    <w:p>
      <w:pPr>
        <w:pStyle w:val="TextBody"/>
        <w:bidi w:val="0"/>
        <w:spacing w:before="0" w:after="480"/>
        <w:ind w:left="0" w:right="0" w:firstLine="720"/>
        <w:jc w:val="both"/>
        <w:rPr/>
      </w:pPr>
      <w:r>
        <w:rPr/>
      </w:r>
    </w:p>
    <w:p>
      <w:pPr>
        <w:pStyle w:val="TextBody"/>
        <w:bidi w:val="0"/>
        <w:spacing w:lineRule="auto" w:line="288" w:before="0" w:after="4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have read and accept this Agreement:</w:t>
      </w:r>
    </w:p>
    <w:p>
      <w:pPr>
        <w:pStyle w:val="TextBody"/>
        <w:bidi w:val="0"/>
        <w:spacing w:lineRule="auto" w:line="288" w:before="0" w:after="240"/>
        <w:jc w:val="left"/>
        <w:rPr/>
      </w:pPr>
      <w:r>
        <w:rPr>
          <w:rFonts w:ascii="Times New Roman;serif" w:hAnsi="Times New Roman;serif"/>
          <w:b w:val="false"/>
          <w:color w:val="000000"/>
          <w:sz w:val="24"/>
          <w:u w:val="single"/>
        </w:rPr>
        <w:t>/s/ Surajit Datta     </w:t>
        <w:br/>
      </w:r>
      <w:r>
        <w:rPr>
          <w:rFonts w:ascii="Times New Roman;serif" w:hAnsi="Times New Roman;serif"/>
          <w:b w:val="false"/>
          <w:color w:val="000000"/>
          <w:sz w:val="24"/>
        </w:rPr>
        <w:t>Surajit Datta</w:t>
      </w:r>
    </w:p>
    <w:p>
      <w:pPr>
        <w:pStyle w:val="TextBody"/>
        <w:bidi w:val="0"/>
        <w:spacing w:lineRule="auto" w:line="288" w:before="0" w:after="720"/>
        <w:ind w:left="0" w:right="0" w:firstLine="720"/>
        <w:jc w:val="left"/>
        <w:rPr/>
      </w:pPr>
      <w:r>
        <w:rPr>
          <w:rFonts w:ascii="Times New Roman;serif" w:hAnsi="Times New Roman;serif"/>
          <w:b w:val="false"/>
          <w:color w:val="000000"/>
          <w:sz w:val="24"/>
        </w:rPr>
        <w:t xml:space="preserve">Dated: </w:t>
      </w:r>
      <w:r>
        <w:rPr>
          <w:color w:val="000000"/>
          <w:u w:val="single"/>
        </w:rPr>
        <w:t>    </w:t>
      </w:r>
      <w:r>
        <w:rPr>
          <w:rFonts w:ascii="Times New Roman;serif" w:hAnsi="Times New Roman;serif"/>
          <w:b w:val="false"/>
          <w:color w:val="000000"/>
          <w:sz w:val="24"/>
          <w:u w:val="single"/>
        </w:rPr>
        <w:t>8/18/2025    </w:t>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05790"/>
                <wp:effectExtent l="0" t="0" r="0" b="0"/>
                <wp:wrapNone/>
                <wp:docPr id="172" name="Frame154"/>
                <a:graphic xmlns:a="http://schemas.openxmlformats.org/drawingml/2006/main">
                  <a:graphicData uri="http://schemas.microsoft.com/office/word/2010/wordprocessingShape">
                    <wps:wsp>
                      <wps:cNvSpPr txBox="1"/>
                      <wps:spPr>
                        <a:xfrm>
                          <a:off x="0" y="0"/>
                          <a:ext cx="6480175" cy="605790"/>
                        </a:xfrm>
                        <a:prstGeom prst="rect"/>
                        <a:solidFill>
                          <a:srgbClr val="FFFFFF"/>
                        </a:solidFill>
                      </wps:spPr>
                      <wps:txbx>
                        <w:txbxContent>
                          <w:p>
                            <w:pPr>
                              <w:pStyle w:val="TextBody"/>
                              <w:bidi w:val="0"/>
                              <w:spacing w:before="0" w:after="0"/>
                              <w:jc w:val="center"/>
                              <w:rPr/>
                            </w:pPr>
                            <w:r>
                              <w:rPr/>
                              <w:drawing>
                                <wp:inline distT="0" distB="0" distL="0" distR="0">
                                  <wp:extent cx="5943600" cy="14605"/>
                                  <wp:effectExtent l="0" t="0" r="0" b="0"/>
                                  <wp:docPr id="17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3" descr=""/>
                                          <pic:cNvPicPr>
                                            <a:picLocks noChangeAspect="1" noChangeArrowheads="1"/>
                                          </pic:cNvPicPr>
                                        </pic:nvPicPr>
                                        <pic:blipFill>
                                          <a:blip r:embed="rId65"/>
                                          <a:stretch>
                                            <a:fillRect/>
                                          </a:stretch>
                                        </pic:blipFill>
                                        <pic:spPr bwMode="auto">
                                          <a:xfrm>
                                            <a:off x="0" y="0"/>
                                            <a:ext cx="5943600" cy="14605"/>
                                          </a:xfrm>
                                          <a:prstGeom prst="rect">
                                            <a:avLst/>
                                          </a:prstGeom>
                                        </pic:spPr>
                                      </pic:pic>
                                    </a:graphicData>
                                  </a:graphic>
                                </wp:inline>
                              </w:drawing>
                            </w:r>
                            <w:r>
                              <w:br w:type="page"/>
                            </w:r>
                          </w:p>
                          <w:p>
                            <w:pPr>
                              <w:pStyle w:val="TextBody"/>
                              <w:bidi w:val="0"/>
                              <w:spacing w:before="0" w:after="0"/>
                              <w:jc w:val="center"/>
                              <w:rPr/>
                            </w:pPr>
                            <w:r>
                              <w:rPr/>
                            </w:r>
                          </w:p>
                          <w:p>
                            <w:pPr>
                              <w:pStyle w:val="TextBody"/>
                              <w:bidi w:val="0"/>
                              <w:spacing w:lineRule="auto" w:line="288" w:before="0" w:after="0"/>
                              <w:jc w:val="center"/>
                              <w:rPr>
                                <w:rFonts w:ascii="DM Sans;sans-serif" w:hAnsi="DM Sans;sans-serif"/>
                                <w:b/>
                                <w:color w:val="000000"/>
                                <w:sz w:val="20"/>
                              </w:rPr>
                            </w:pPr>
                            <w:r>
                              <w:rPr>
                                <w:rFonts w:ascii="DM Sans;sans-serif" w:hAnsi="DM Sans;sans-serif"/>
                                <w:b/>
                                <w:color w:val="000000"/>
                                <w:sz w:val="20"/>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5943600" cy="14605"/>
                            <wp:effectExtent l="0" t="0" r="0" b="0"/>
                            <wp:docPr id="17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3" descr=""/>
                                    <pic:cNvPicPr>
                                      <a:picLocks noChangeAspect="1" noChangeArrowheads="1"/>
                                    </pic:cNvPicPr>
                                  </pic:nvPicPr>
                                  <pic:blipFill>
                                    <a:blip r:embed="rId66"/>
                                    <a:stretch>
                                      <a:fillRect/>
                                    </a:stretch>
                                  </pic:blipFill>
                                  <pic:spPr bwMode="auto">
                                    <a:xfrm>
                                      <a:off x="0" y="0"/>
                                      <a:ext cx="5943600" cy="1460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DM Sans;sans-serif" w:hAnsi="DM Sans;sans-serif"/>
                          <w:b/>
                          <w:color w:val="000000"/>
                          <w:sz w:val="20"/>
                        </w:rPr>
                      </w:pPr>
                      <w:r>
                        <w:rPr>
                          <w:rFonts w:ascii="DM Sans;sans-serif" w:hAnsi="DM Sans;sans-serif"/>
                          <w:b/>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10.20</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05790"/>
                <wp:effectExtent l="0" t="0" r="0" b="0"/>
                <wp:wrapNone/>
                <wp:docPr id="175" name="Frame155"/>
                <a:graphic xmlns:a="http://schemas.openxmlformats.org/drawingml/2006/main">
                  <a:graphicData uri="http://schemas.microsoft.com/office/word/2010/wordprocessingShape">
                    <wps:wsp>
                      <wps:cNvSpPr txBox="1"/>
                      <wps:spPr>
                        <a:xfrm>
                          <a:off x="0" y="0"/>
                          <a:ext cx="6480175" cy="605790"/>
                        </a:xfrm>
                        <a:prstGeom prst="rect"/>
                        <a:solidFill>
                          <a:srgbClr val="FFFFFF"/>
                        </a:solidFill>
                      </wps:spPr>
                      <wps:txbx>
                        <w:txbxContent>
                          <w:p>
                            <w:pPr>
                              <w:pStyle w:val="TextBody"/>
                              <w:bidi w:val="0"/>
                              <w:spacing w:before="0" w:after="0"/>
                              <w:jc w:val="center"/>
                              <w:rPr/>
                            </w:pPr>
                            <w:r>
                              <w:rPr/>
                              <w:drawing>
                                <wp:inline distT="0" distB="0" distL="0" distR="0">
                                  <wp:extent cx="5943600" cy="14605"/>
                                  <wp:effectExtent l="0" t="0" r="0" b="0"/>
                                  <wp:docPr id="17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4" descr=""/>
                                          <pic:cNvPicPr>
                                            <a:picLocks noChangeAspect="1" noChangeArrowheads="1"/>
                                          </pic:cNvPicPr>
                                        </pic:nvPicPr>
                                        <pic:blipFill>
                                          <a:blip r:embed="rId67"/>
                                          <a:stretch>
                                            <a:fillRect/>
                                          </a:stretch>
                                        </pic:blipFill>
                                        <pic:spPr bwMode="auto">
                                          <a:xfrm>
                                            <a:off x="0" y="0"/>
                                            <a:ext cx="5943600" cy="1460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DM Sans;sans-serif" w:hAnsi="DM Sans;sans-serif"/>
                                <w:b/>
                                <w:color w:val="000000"/>
                                <w:sz w:val="20"/>
                              </w:rPr>
                            </w:pPr>
                            <w:r>
                              <w:rPr>
                                <w:rFonts w:ascii="DM Sans;sans-serif" w:hAnsi="DM Sans;sans-serif"/>
                                <w:b/>
                                <w:color w:val="000000"/>
                                <w:sz w:val="20"/>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7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0"/>
                        <w:jc w:val="center"/>
                        <w:rPr/>
                      </w:pPr>
                      <w:r>
                        <w:rPr/>
                        <w:drawing>
                          <wp:inline distT="0" distB="0" distL="0" distR="0">
                            <wp:extent cx="5943600" cy="14605"/>
                            <wp:effectExtent l="0" t="0" r="0" b="0"/>
                            <wp:docPr id="17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4" descr=""/>
                                    <pic:cNvPicPr>
                                      <a:picLocks noChangeAspect="1" noChangeArrowheads="1"/>
                                    </pic:cNvPicPr>
                                  </pic:nvPicPr>
                                  <pic:blipFill>
                                    <a:blip r:embed="rId68"/>
                                    <a:stretch>
                                      <a:fillRect/>
                                    </a:stretch>
                                  </pic:blipFill>
                                  <pic:spPr bwMode="auto">
                                    <a:xfrm>
                                      <a:off x="0" y="0"/>
                                      <a:ext cx="5943600" cy="1460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DM Sans;sans-serif" w:hAnsi="DM Sans;sans-serif"/>
                          <w:b/>
                          <w:color w:val="000000"/>
                          <w:sz w:val="20"/>
                        </w:rPr>
                      </w:pPr>
                      <w:r>
                        <w:rPr>
                          <w:rFonts w:ascii="DM Sans;sans-serif" w:hAnsi="DM Sans;sans-serif"/>
                          <w:b/>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THIRD AMENDMENT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TO SECOND LIEN LOAN AND SECURITY AGREEMENT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THIRD AMENDMENT TO SECOND LIEN LOAN AND SECURITY AGREEMENT (this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dated as of March 2, 2026, is entered into by and among KODIAK ROBOTICS, INC., a Delaware corporation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 the lenders party hereto (“</w:t>
      </w:r>
      <w:r>
        <w:rPr>
          <w:rFonts w:ascii="Times New Roman;serif" w:hAnsi="Times New Roman;serif"/>
          <w:b w:val="false"/>
          <w:color w:val="000000"/>
          <w:sz w:val="24"/>
          <w:u w:val="single"/>
        </w:rPr>
        <w:t>Lenders</w:t>
      </w:r>
      <w:r>
        <w:rPr>
          <w:color w:val="000000"/>
        </w:rPr>
        <w:t>”</w:t>
      </w:r>
      <w:r>
        <w:rPr>
          <w:rFonts w:ascii="Times New Roman;serif" w:hAnsi="Times New Roman;serif"/>
          <w:b w:val="false"/>
          <w:color w:val="000000"/>
          <w:sz w:val="24"/>
        </w:rPr>
        <w:t>), which constitute the Required Lenders, and ARES AGENT SERVICES, L.P., a Delaware limited partnership, as lender representative and collateral agent for the Lenders (in such capacities, together with its successors and assigns in such capacities, “</w:t>
      </w:r>
      <w:r>
        <w:rPr>
          <w:rFonts w:ascii="Times New Roman;serif" w:hAnsi="Times New Roman;serif"/>
          <w:b w:val="false"/>
          <w:color w:val="000000"/>
          <w:sz w:val="24"/>
          <w:u w:val="single"/>
        </w:rPr>
        <w:t>Agent</w:t>
      </w:r>
      <w:r>
        <w:rPr>
          <w:color w:val="000000"/>
        </w:rPr>
        <w:t>”</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before="0" w:after="0"/>
        <w:jc w:val="center"/>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A.    Borrower, Agent and Lenders are parties to a certain Second Lien Loan and Security Agreement, dated as of April 14, 2025 (as amended, restated, amended and restated, supplemented, or otherwise modified from time to time prior to, but not including, the date hereof, the “</w:t>
      </w:r>
      <w:r>
        <w:rPr>
          <w:rFonts w:ascii="Times New Roman;serif" w:hAnsi="Times New Roman;serif"/>
          <w:b w:val="false"/>
          <w:color w:val="000000"/>
          <w:sz w:val="24"/>
          <w:u w:val="single"/>
        </w:rPr>
        <w:t>Loan Agreement</w:t>
      </w:r>
      <w:r>
        <w:rPr>
          <w:color w:val="000000"/>
        </w:rPr>
        <w:t xml:space="preserve">” </w:t>
      </w:r>
      <w:r>
        <w:rPr>
          <w:rFonts w:ascii="Times New Roman;serif" w:hAnsi="Times New Roman;serif"/>
          <w:b w:val="false"/>
          <w:color w:val="000000"/>
          <w:sz w:val="24"/>
        </w:rPr>
        <w:t>and, as amended by this Amendment, the “</w:t>
      </w:r>
      <w:r>
        <w:rPr>
          <w:rFonts w:ascii="Times New Roman;serif" w:hAnsi="Times New Roman;serif"/>
          <w:b w:val="false"/>
          <w:color w:val="000000"/>
          <w:sz w:val="24"/>
          <w:u w:val="single"/>
        </w:rPr>
        <w:t>Amended Loan Agreement</w:t>
      </w:r>
      <w:r>
        <w:rPr>
          <w:color w:val="000000"/>
        </w:rPr>
        <w:t>”</w:t>
      </w:r>
      <w:r>
        <w:rPr>
          <w:rFonts w:ascii="Times New Roman;serif" w:hAnsi="Times New Roman;serif"/>
          <w:b w:val="false"/>
          <w:color w:val="000000"/>
          <w:sz w:val="24"/>
        </w:rPr>
        <w:t>), pursuant to which Lenders (or Agent on behalf of Lenders) have made and may make Loans and provide other financial accommodations to Borrower.</w:t>
      </w:r>
    </w:p>
    <w:p>
      <w:pPr>
        <w:pStyle w:val="TextBody"/>
        <w:bidi w:val="0"/>
        <w:spacing w:lineRule="auto" w:line="288" w:before="0" w:after="0"/>
        <w:ind w:left="0" w:right="0" w:firstLine="720"/>
        <w:jc w:val="both"/>
        <w:rPr/>
      </w:pPr>
      <w:r>
        <w:rPr>
          <w:rFonts w:ascii="Times New Roman;serif" w:hAnsi="Times New Roman;serif"/>
          <w:b w:val="false"/>
          <w:color w:val="000000"/>
          <w:sz w:val="24"/>
        </w:rPr>
        <w:t>B.    Borrower has requested that the Agent and the Lenders amend the Loan Agreement to (i) make certain conforming changes to account for the closing of the Business Combination contemplated by the Closing Date Business Combination Agreement and Kodiak Robotics, Inc. becoming a wholly owned subsidiary of the public company Kodiak AI, Inc., a Delaware corporation (“</w:t>
      </w:r>
      <w:r>
        <w:rPr>
          <w:rFonts w:ascii="Times New Roman;serif" w:hAnsi="Times New Roman;serif"/>
          <w:b w:val="false"/>
          <w:color w:val="000000"/>
          <w:sz w:val="24"/>
          <w:u w:val="single"/>
        </w:rPr>
        <w:t>Parent</w:t>
      </w:r>
      <w:r>
        <w:rPr>
          <w:color w:val="000000"/>
        </w:rPr>
        <w:t>”</w:t>
      </w:r>
      <w:r>
        <w:rPr>
          <w:rFonts w:ascii="Times New Roman;serif" w:hAnsi="Times New Roman;serif"/>
          <w:b w:val="false"/>
          <w:color w:val="000000"/>
          <w:sz w:val="24"/>
        </w:rPr>
        <w:t>), (ii) provide for the joinder of Parent as a co-Borrower under the Loan Agreement, and (iii) make certain other changes as set forth in Section 3 hereof.</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Lenders are willing to grant such request, but only to the extent, and in accordance with the terms, and subject to the conditions, set forth herein.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AGREEMENT</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above recitals and for other good and valuable consideration, the receipt and adequacy of which are hereby acknowledged, Borrower and Lenders hereby agree as follows: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Definitions; Interpretation</w:t>
      </w:r>
      <w:r>
        <w:rPr>
          <w:rFonts w:ascii="Times New Roman;serif" w:hAnsi="Times New Roman;serif"/>
          <w:b w:val="false"/>
          <w:color w:val="000000"/>
          <w:sz w:val="24"/>
        </w:rPr>
        <w:t>. Unless otherwise defined herein, all capitalized terms used herein and defined in the Loan Agreement shall have the respective meanings given to those terms in the Loan Agreement. Other rules of construction set forth in the Loan Agreement, to the extent not inconsistent with this Amendment, apply to this Amendment and are hereby incorporated by reference.</w:t>
      </w:r>
    </w:p>
    <w:p>
      <w:pPr>
        <w:pStyle w:val="TextBody"/>
        <w:bidi w:val="0"/>
        <w:spacing w:before="0" w:after="0"/>
        <w:ind w:left="0" w:right="0" w:firstLine="720"/>
        <w:jc w:val="left"/>
        <w:rPr/>
      </w:pPr>
      <w:r>
        <w:rPr/>
      </w:r>
    </w:p>
    <w:p>
      <w:pPr>
        <w:pStyle w:val="TextBody"/>
        <w:bidi w:val="0"/>
        <w:spacing w:lineRule="auto" w:line="288"/>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Confirmation</w:t>
      </w:r>
      <w:r>
        <w:rPr>
          <w:rFonts w:ascii="Times New Roman;serif" w:hAnsi="Times New Roman;serif"/>
          <w:b w:val="false"/>
          <w:color w:val="000000"/>
          <w:sz w:val="24"/>
        </w:rPr>
        <w:t xml:space="preserve">. Borrower hereby acknowledges and agrees that: (i) the Loan Agreement sets forth the legal, valid, binding and continuing obligations of Borrower to Lenders,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8"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 the Obligations to Lenders under the Loan Agreement are secured by validly perfected security interests in all assets of Borrower, except as set forth in the Loan Agreement, and (iii) Borrower has no cause of action, claim, defense or set-off against any Lender in any way regarding or relating to the Loan Agreement or any Lender’s actions thereunder and to the extent any such cause of action, claim, defense or set-off arose on or prior to the date of this Amendment, it is waived and each Lender is released from any claims of Borrower. Borrower represents and warrants that no Default or Event of Default has occurred under the Loan Agreement.</w:t>
      </w:r>
    </w:p>
    <w:p>
      <w:pPr>
        <w:pStyle w:val="TextBody"/>
        <w:bidi w:val="0"/>
        <w:spacing w:before="0" w:after="0"/>
        <w:ind w:left="0" w:right="0" w:firstLine="720"/>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Amendments to Loan Agreement</w:t>
      </w:r>
      <w:r>
        <w:rPr>
          <w:rFonts w:ascii="Times New Roman;serif" w:hAnsi="Times New Roman;serif"/>
          <w:b w:val="false"/>
          <w:color w:val="000000"/>
          <w:sz w:val="24"/>
        </w:rPr>
        <w: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Borrower and Lenders hereby agree that Section 1.1 of the Loan Agreement is hereby amended by inserting alphabetically the following defined terms: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Kodiak</w:t>
      </w:r>
      <w:r>
        <w:rPr>
          <w:color w:val="000000"/>
        </w:rPr>
        <w:t xml:space="preserve">” </w:t>
      </w:r>
      <w:r>
        <w:rPr>
          <w:rFonts w:ascii="Times New Roman;serif" w:hAnsi="Times New Roman;serif"/>
          <w:b w:val="false"/>
          <w:color w:val="000000"/>
          <w:sz w:val="24"/>
        </w:rPr>
        <w:t>means Kodiak Robotics, Inc., a Delaware corporation.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Parent</w:t>
      </w:r>
      <w:r>
        <w:rPr>
          <w:color w:val="000000"/>
        </w:rPr>
        <w:t xml:space="preserve">” </w:t>
      </w:r>
      <w:r>
        <w:rPr>
          <w:rFonts w:ascii="Times New Roman;serif" w:hAnsi="Times New Roman;serif"/>
          <w:b w:val="false"/>
          <w:color w:val="000000"/>
          <w:sz w:val="24"/>
        </w:rPr>
        <w:t>means Kodiak AI, Inc., a Delaware corporation.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SEC</w:t>
      </w:r>
      <w:r>
        <w:rPr>
          <w:color w:val="000000"/>
        </w:rPr>
        <w:t xml:space="preserve">” </w:t>
      </w:r>
      <w:r>
        <w:rPr>
          <w:rFonts w:ascii="Times New Roman;serif" w:hAnsi="Times New Roman;serif"/>
          <w:b w:val="false"/>
          <w:color w:val="000000"/>
          <w:sz w:val="24"/>
        </w:rPr>
        <w:t>means the Securities and Exchange Commission or any Governmental Authority succeeding to any or all of the functions of the Securities and Exchange Commission.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Third Amendment Effective Date</w:t>
      </w:r>
      <w:r>
        <w:rPr>
          <w:color w:val="000000"/>
        </w:rPr>
        <w:t xml:space="preserve">” </w:t>
      </w:r>
      <w:r>
        <w:rPr>
          <w:rFonts w:ascii="Times New Roman;serif" w:hAnsi="Times New Roman;serif"/>
          <w:b w:val="false"/>
          <w:color w:val="000000"/>
          <w:sz w:val="24"/>
        </w:rPr>
        <w:t>means March 2, 2026.</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Borrower and Lenders hereby agree that the definition of “Borrower” in Section 1.1 of the Loan Agreement is hereby amended as follows:</w:t>
      </w:r>
    </w:p>
    <w:p>
      <w:pPr>
        <w:pStyle w:val="TextBody"/>
        <w:bidi w:val="0"/>
        <w:spacing w:before="0" w:after="0"/>
        <w:ind w:left="0" w:right="0" w:firstLine="720"/>
        <w:jc w:val="left"/>
        <w:rPr/>
      </w:pPr>
      <w:r>
        <w:rPr/>
      </w:r>
    </w:p>
    <w:p>
      <w:pPr>
        <w:pStyle w:val="TextBody"/>
        <w:bidi w:val="0"/>
        <w:spacing w:lineRule="atLeast" w:line="278" w:before="4" w:after="283"/>
        <w:ind w:left="0" w:right="0" w:firstLine="720"/>
        <w:jc w:val="both"/>
        <w:rPr/>
      </w:pPr>
      <w:r>
        <w:rPr>
          <w:color w:val="000000"/>
        </w:rPr>
        <w:t>“</w:t>
      </w:r>
      <w:r>
        <w:rPr>
          <w:rFonts w:ascii="Times New Roman;serif" w:hAnsi="Times New Roman;serif"/>
          <w:b w:val="false"/>
          <w:color w:val="000000"/>
          <w:sz w:val="24"/>
          <w:u w:val="single"/>
        </w:rPr>
        <w:t>Borrower</w:t>
      </w:r>
      <w:r>
        <w:rPr>
          <w:color w:val="000000"/>
        </w:rPr>
        <w:t xml:space="preserve">” </w:t>
      </w:r>
      <w:r>
        <w:rPr>
          <w:rFonts w:ascii="Times New Roman;serif" w:hAnsi="Times New Roman;serif"/>
          <w:b w:val="false"/>
          <w:color w:val="000000"/>
          <w:sz w:val="24"/>
        </w:rPr>
        <w:t>means, collectively, Kodiak, Parent and each other entity joined hereto as a co-Borrower.</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Borrower and Lenders hereby agree that clause (f) of the definition of “Permitted Investments” in Section 1.1 of the Loan Agreement is hereby amended as follows: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Investments by (i) any Borrower in any other Borrower, (ii) any Subsidiary that is not a Borrower hereunder in a Borrower or another Subsidiary that is not a Borrower hereunder and (iii) any Borrower in Subsidiaries that are not a Borrower hereunder in an aggregate amount not to exceed Two Hundred Fifty Thousand Dollars ($250,000) in any fiscal year;</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Borrower and Lenders hereby agree that Section 5.13 of the Loan Agreement is hereby deleted in its entirety and replaced with the following:</w:t>
      </w:r>
    </w:p>
    <w:p>
      <w:pPr>
        <w:pStyle w:val="TextBody"/>
        <w:bidi w:val="0"/>
        <w:spacing w:before="0" w:after="240"/>
        <w:ind w:left="0" w:right="0" w:firstLine="720"/>
        <w:jc w:val="left"/>
        <w:rPr/>
      </w:pPr>
      <w:r>
        <w:rPr/>
      </w:r>
    </w:p>
    <w:p>
      <w:pPr>
        <w:pStyle w:val="TextBody"/>
        <w:bidi w:val="0"/>
        <w:spacing w:lineRule="auto" w:line="288"/>
        <w:jc w:val="left"/>
        <w:rPr/>
      </w:pPr>
      <w:r>
        <w:rPr>
          <w:color w:val="000000"/>
        </w:rPr>
        <w:t>“</w:t>
      </w:r>
      <w:r>
        <w:rPr>
          <w:rFonts w:ascii="Times New Roman;serif" w:hAnsi="Times New Roman;serif"/>
          <w:b w:val="false"/>
          <w:color w:val="000000"/>
          <w:sz w:val="24"/>
          <w:u w:val="single"/>
        </w:rPr>
        <w:t>Subsidiaries</w:t>
      </w:r>
      <w:r>
        <w:rPr>
          <w:rFonts w:ascii="Times New Roman;serif" w:hAnsi="Times New Roman;serif"/>
          <w:b w:val="false"/>
          <w:color w:val="000000"/>
          <w:sz w:val="24"/>
        </w:rPr>
        <w:t>. Borrower has no Subsidiaries, except that Kodiak is a wholly-owned Subsidiary of Parent.”</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9"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Borrower and Lenders hereby agree that Section 6.3 of the Loan Agreement is hereby deleted in its entirety and replaced with the following:</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rPr>
        <w:t>6.3    </w:t>
      </w:r>
      <w:r>
        <w:rPr>
          <w:rFonts w:ascii="Times New Roman;serif" w:hAnsi="Times New Roman;serif"/>
          <w:b w:val="false"/>
          <w:color w:val="000000"/>
          <w:sz w:val="24"/>
          <w:u w:val="single"/>
        </w:rPr>
        <w:t>Financial Statements, Reports, Certificates</w:t>
      </w:r>
      <w:r>
        <w:rPr>
          <w:rFonts w:ascii="Times New Roman;serif" w:hAnsi="Times New Roman;serif"/>
          <w:b w:val="false"/>
          <w:color w:val="000000"/>
          <w:sz w:val="24"/>
        </w:rPr>
        <w:t>. Borrower shall deliver to Lender Representative for distribution to the Lenders: (a) within ninety (90) days after the end of each fiscal year of Parent, the consolidated financial statements of Parent and its Subsidiaries for such fiscal year, (b) within forty-five (45) days after the end of each of the first three fiscal quarters of Parent, the consolidated financial statements of Parent and its Subsidiaries, (c) as soon as available, but in any event promptly upon the later of (A) thirty (30) days after the end of Parent’s fiscal year, or (B) receipt of approval of the Parent’s Board of Directors, Parent’s operating budget and plan for the next fiscal year; and (d) such other financial information as the Lenders may reasonably request from time to time. In addition, Borrower shall deliver to the Lender Representative (A) promptly upon becoming available, copies of all statements, reports and notices sent or made available generally by Borrower to all of its security holders in their capacity as such and not in any other capacity and (B) promptly upon written receipt of notice thereof, a report of any material legal actions pending or threatened in writing against Borrower or any Subsidiary or the commencement of any action, proceeding or governmental investigation involving Borrower or any Subsidiary is commenced that is reasonably expected to result in damages or costs to Borrower of Two Hundred Fifty Thousand Dollars ($250,000) or more; provided that, documents required to be delivered pursuant to clauses (a) and (b) above may be delivered electronically and if so delivered, shall be deemed to have been delivered on the earliest date on which (i) the Borrower posts such documents, or provides a link thereto on the Borrower’s website on the Internet or (ii) such financial statements and/or other documents are posted on the Securities Exchange Commission’s website on the internet at www.sec.gov.”</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Borrower and Lenders hereby agree that Section 7.7 of the Loan Agreement is hereby deleted in its entirety and replaced with the following: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4"/>
        </w:rPr>
        <w:t>7.7    </w:t>
      </w:r>
      <w:r>
        <w:rPr>
          <w:rFonts w:ascii="Times New Roman;serif" w:hAnsi="Times New Roman;serif"/>
          <w:b w:val="false"/>
          <w:color w:val="000000"/>
          <w:sz w:val="24"/>
          <w:u w:val="single"/>
        </w:rPr>
        <w:t>Change in Business or Ownership</w:t>
      </w:r>
      <w:r>
        <w:rPr>
          <w:rFonts w:ascii="Times New Roman;serif" w:hAnsi="Times New Roman;serif"/>
          <w:b w:val="false"/>
          <w:color w:val="000000"/>
          <w:sz w:val="24"/>
        </w:rPr>
        <w:t>. Engage, or permit any Subsidiary to engage, in any business other than the businesses currently engaged in by Borrower or such Subsidiary, as applicable, or reasonably related, incidental or complementary thereto or a reasonable extension thereof or have an acquisition of ownership, directly or indirectly, beneficially or of record, by any Person or group (within the meaning of the Securities Exchange Act of 1934 and the rules of the SEC thereunder as in effect on the Third Amendment Effective Date) of Equity Securities representing more than 40% of the aggregate ordinary voting power represented by the issued and outstanding Equity Securities of Parent.”</w:t>
      </w:r>
    </w:p>
    <w:p>
      <w:pPr>
        <w:pStyle w:val="TextBody"/>
        <w:bidi w:val="0"/>
        <w:spacing w:before="0" w:after="0"/>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Borrower and Lenders hereby agree that the following shall be added to the Loan Agreement as Section 17:</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80"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17.    </w:t>
      </w:r>
      <w:r>
        <w:rPr>
          <w:rFonts w:ascii="Times New Roman;serif" w:hAnsi="Times New Roman;serif"/>
          <w:b w:val="false"/>
          <w:color w:val="000000"/>
          <w:sz w:val="24"/>
          <w:u w:val="single"/>
        </w:rPr>
        <w:t>Cross-Guaranty of Borrowers</w:t>
      </w:r>
      <w:r>
        <w:rPr>
          <w:rFonts w:ascii="Times New Roman;serif" w:hAnsi="Times New Roman;serif"/>
          <w:b w:val="false"/>
          <w:color w:val="000000"/>
          <w:sz w:val="24"/>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hanging="420"/>
        <w:jc w:val="both"/>
        <w:rPr/>
      </w:pPr>
      <w:r>
        <w:rPr>
          <w:rFonts w:ascii="Times New Roman;serif" w:hAnsi="Times New Roman;serif"/>
          <w:b w:val="false"/>
          <w:color w:val="000000"/>
          <w:sz w:val="24"/>
          <w:u w:val="single"/>
        </w:rPr>
        <w:t>17.1    Cross-Guaranty</w:t>
      </w:r>
      <w:r>
        <w:rPr>
          <w:rFonts w:ascii="Times New Roman;serif" w:hAnsi="Times New Roman;serif"/>
          <w:b w:val="false"/>
          <w:color w:val="000000"/>
          <w:sz w:val="24"/>
        </w:rPr>
        <w:t xml:space="preserve">. Each Borrower hereby agrees that such Borrower is jointly and severally liable for, and hereby absolutely and unconditionally guarantees to Agent and the Lenders and its successors and assigns, the full and prompt payment (whether at stated maturity, by acceleration or otherwise) and performance of, all Obligations owed or hereafter owing to Agent and the Lenders by each other Borrower. Each Borrower agrees that its guaranty obligation hereunder is a continuing guaranty of payment and performance and not of collection, that its obligations under this </w:t>
      </w:r>
      <w:r>
        <w:rPr>
          <w:rFonts w:ascii="Times New Roman;serif" w:hAnsi="Times New Roman;serif"/>
          <w:b w:val="false"/>
          <w:color w:val="000000"/>
          <w:sz w:val="24"/>
          <w:u w:val="single"/>
        </w:rPr>
        <w:t xml:space="preserve">Section 17 </w:t>
      </w:r>
      <w:r>
        <w:rPr>
          <w:rFonts w:ascii="Times New Roman;serif" w:hAnsi="Times New Roman;serif"/>
          <w:b w:val="false"/>
          <w:color w:val="000000"/>
          <w:sz w:val="24"/>
        </w:rPr>
        <w:t xml:space="preserve">shall not be discharged until payment and performance, in full, of the Obligations has occurred, and that its obligations under this </w:t>
      </w:r>
      <w:r>
        <w:rPr>
          <w:rFonts w:ascii="Times New Roman;serif" w:hAnsi="Times New Roman;serif"/>
          <w:b w:val="false"/>
          <w:color w:val="000000"/>
          <w:sz w:val="24"/>
          <w:u w:val="single"/>
        </w:rPr>
        <w:t>Section 17</w:t>
      </w:r>
      <w:r>
        <w:rPr>
          <w:color w:val="000000"/>
        </w:rPr>
        <w:t xml:space="preserve"> </w:t>
      </w:r>
      <w:r>
        <w:rPr>
          <w:rFonts w:ascii="Times New Roman;serif" w:hAnsi="Times New Roman;serif"/>
          <w:b w:val="false"/>
          <w:color w:val="000000"/>
          <w:sz w:val="24"/>
        </w:rPr>
        <w:t xml:space="preserve">shall be absolute and unconditional, irrespective of, and unaffected by: </w:t>
      </w:r>
    </w:p>
    <w:p>
      <w:pPr>
        <w:pStyle w:val="TextBody"/>
        <w:bidi w:val="0"/>
        <w:spacing w:before="0" w:after="0"/>
        <w:ind w:left="0" w:right="0" w:firstLine="720"/>
        <w:jc w:val="left"/>
        <w:rPr/>
      </w:pPr>
      <w:r>
        <w:rPr/>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    the genuineness, validity, regularity, enforceability or any future amendment of, or change in, this Agreement, any other Loan Document or any other agreement, document or instrument to which any Borrower is or may become a party;</w:t>
      </w:r>
    </w:p>
    <w:p>
      <w:pPr>
        <w:pStyle w:val="TextBody"/>
        <w:bidi w:val="0"/>
        <w:spacing w:lineRule="auto" w:line="288" w:before="0" w:after="240"/>
        <w:ind w:left="0" w:right="0" w:hanging="720"/>
        <w:jc w:val="left"/>
        <w:rPr/>
      </w:pPr>
      <w:r>
        <w:rPr>
          <w:rFonts w:ascii="Times New Roman;serif" w:hAnsi="Times New Roman;serif"/>
          <w:b w:val="false"/>
          <w:color w:val="000000"/>
          <w:sz w:val="24"/>
        </w:rPr>
        <w:t xml:space="preserve">(B)    the absence of any action to enforce this Agreement (including this </w:t>
      </w:r>
      <w:r>
        <w:rPr>
          <w:rFonts w:ascii="Times New Roman;serif" w:hAnsi="Times New Roman;serif"/>
          <w:b w:val="false"/>
          <w:color w:val="000000"/>
          <w:sz w:val="24"/>
          <w:u w:val="single"/>
        </w:rPr>
        <w:t>Section 17</w:t>
      </w:r>
      <w:r>
        <w:rPr>
          <w:rFonts w:ascii="Times New Roman;serif" w:hAnsi="Times New Roman;serif"/>
          <w:b w:val="false"/>
          <w:color w:val="000000"/>
          <w:sz w:val="24"/>
        </w:rPr>
        <w:t>) or any other Loan Document, or the waiver or consent by Agent and the Lenders with respect to any of the provisions hereof or thereof;</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    the existence, value or condition of, or failure to perfect its Lien against, any security for the Obligations or any action, or the absence of any action, by Agent and the Lenders in respect thereof (including the release of any such security);</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(D)    the insolvency of any Borrower or any other Person; or</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(E)    any other action or circumstances that might otherwise constitute a legal or equitable discharge or defense of a surety or guarantor.</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Each Borrower shall be regarded, and shall be in the same position, as principal debtor with respect to the Obligations guaranteed hereunder.</w:t>
      </w:r>
    </w:p>
    <w:p>
      <w:pPr>
        <w:pStyle w:val="TextBody"/>
        <w:bidi w:val="0"/>
        <w:spacing w:lineRule="auto" w:line="288"/>
        <w:ind w:left="0" w:right="0" w:hanging="420"/>
        <w:jc w:val="both"/>
        <w:rPr/>
      </w:pPr>
      <w:r>
        <w:rPr>
          <w:rFonts w:ascii="Times New Roman;serif" w:hAnsi="Times New Roman;serif"/>
          <w:b w:val="false"/>
          <w:color w:val="000000"/>
          <w:sz w:val="24"/>
          <w:u w:val="single"/>
        </w:rPr>
        <w:t>17.2    Waivers by Borrowers</w:t>
      </w:r>
      <w:r>
        <w:rPr>
          <w:rFonts w:ascii="Times New Roman;serif" w:hAnsi="Times New Roman;serif"/>
          <w:b w:val="false"/>
          <w:color w:val="000000"/>
          <w:sz w:val="24"/>
        </w:rPr>
        <w:t xml:space="preserve">. Each Borrower expressly waives all rights it may have now or in the future under any statute, at common law, at law, in equity or otherwise, to compel Agent and the Lenders to marshal assets or to proceed in respect of the Obligations guaranteed hereunder against any other Borrower, any other party or against any security for the payment and performance of the Obligations before proceeding against, or as a condition to proceeding against, such Borrower. Each of Borrower, Agent, and the Lenders agrees that the foregoing waivers are of the essence of the transaction contemplated by this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81"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Agreement and the other Loan Documents and that, but for the provisions of this </w:t>
      </w:r>
      <w:r>
        <w:rPr>
          <w:rFonts w:ascii="Times New Roman;serif" w:hAnsi="Times New Roman;serif"/>
          <w:b w:val="false"/>
          <w:color w:val="000000"/>
          <w:sz w:val="24"/>
          <w:u w:val="single"/>
        </w:rPr>
        <w:t>Section 17</w:t>
      </w:r>
      <w:r>
        <w:rPr>
          <w:color w:val="000000"/>
        </w:rPr>
        <w:t xml:space="preserve"> </w:t>
      </w:r>
      <w:r>
        <w:rPr>
          <w:rFonts w:ascii="Times New Roman;serif" w:hAnsi="Times New Roman;serif"/>
          <w:b w:val="false"/>
          <w:color w:val="000000"/>
          <w:sz w:val="24"/>
        </w:rPr>
        <w:t>and such waivers, Agent and the Lenders would decline to enter into this Agreement.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u w:val="single"/>
        </w:rPr>
        <w:t>17.3    Benefit of Guaranty</w:t>
      </w:r>
      <w:r>
        <w:rPr>
          <w:rFonts w:ascii="Times New Roman;serif" w:hAnsi="Times New Roman;serif"/>
          <w:b w:val="false"/>
          <w:color w:val="000000"/>
          <w:sz w:val="24"/>
        </w:rPr>
        <w:t xml:space="preserve">. Each Borrower agrees that the provisions of this </w:t>
      </w:r>
      <w:r>
        <w:rPr>
          <w:rFonts w:ascii="Times New Roman;serif" w:hAnsi="Times New Roman;serif"/>
          <w:b w:val="false"/>
          <w:color w:val="000000"/>
          <w:sz w:val="24"/>
          <w:u w:val="single"/>
        </w:rPr>
        <w:t>Section 17</w:t>
      </w:r>
      <w:r>
        <w:rPr>
          <w:color w:val="000000"/>
        </w:rPr>
        <w:t xml:space="preserve"> </w:t>
      </w:r>
      <w:r>
        <w:rPr>
          <w:rFonts w:ascii="Times New Roman;serif" w:hAnsi="Times New Roman;serif"/>
          <w:b w:val="false"/>
          <w:color w:val="000000"/>
          <w:sz w:val="24"/>
        </w:rPr>
        <w:t>are for the benefit of Agent and the Lenders and their successors, transferees, endorsees and assigns, and nothing herein contained shall impair, as between any other Borrower, Agent, and the Lenders, the obligations of such other Borrower under the Loan Documents.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u w:val="single"/>
        </w:rPr>
        <w:t>17.4    Waiver of Subrogation, Etc.</w:t>
      </w:r>
      <w:r>
        <w:rPr>
          <w:color w:val="000000"/>
        </w:rPr>
        <w:t xml:space="preserve"> </w:t>
      </w:r>
      <w:r>
        <w:rPr>
          <w:rFonts w:ascii="Times New Roman;serif" w:hAnsi="Times New Roman;serif"/>
          <w:b w:val="false"/>
          <w:color w:val="000000"/>
          <w:sz w:val="24"/>
        </w:rPr>
        <w:t xml:space="preserve">Notwithstanding anything to the contrary in this Agreement or in any other Loan Document, and except as set forth in </w:t>
      </w:r>
      <w:r>
        <w:rPr>
          <w:rFonts w:ascii="Times New Roman;serif" w:hAnsi="Times New Roman;serif"/>
          <w:b w:val="false"/>
          <w:color w:val="000000"/>
          <w:sz w:val="24"/>
          <w:u w:val="single"/>
        </w:rPr>
        <w:t xml:space="preserve">Section 17.5 </w:t>
      </w:r>
      <w:r>
        <w:rPr>
          <w:rFonts w:ascii="Times New Roman;serif" w:hAnsi="Times New Roman;serif"/>
          <w:b w:val="false"/>
          <w:color w:val="000000"/>
          <w:sz w:val="24"/>
        </w:rPr>
        <w:t xml:space="preserve">hereof, each Borrower hereby expressly and irrevocably waives any and all rights at law or in equity to subrogation, reimbursement, exoneration, contribution, indemnification or set off and any and all defenses available to a surety, guarantor or accommodation co-obligor until the Obligations are indefeasibly paid in full in cash. Each Borrower acknowledges and agrees that this waiver is intended to benefit Agent and the Lenders and shall not limit or otherwise affect such Borrower’s liability hereunder or the enforceability of this </w:t>
      </w:r>
      <w:r>
        <w:rPr>
          <w:rFonts w:ascii="Times New Roman;serif" w:hAnsi="Times New Roman;serif"/>
          <w:b w:val="false"/>
          <w:color w:val="000000"/>
          <w:sz w:val="24"/>
          <w:u w:val="single"/>
        </w:rPr>
        <w:t>Section 17</w:t>
      </w:r>
      <w:r>
        <w:rPr>
          <w:rFonts w:ascii="Times New Roman;serif" w:hAnsi="Times New Roman;serif"/>
          <w:b w:val="false"/>
          <w:color w:val="000000"/>
          <w:sz w:val="24"/>
        </w:rPr>
        <w:t xml:space="preserve">, and that Agent and the Lenders and their successors and assigns are intended third party beneficiaries of the waivers and agreements set forth in this </w:t>
      </w:r>
      <w:r>
        <w:rPr>
          <w:rFonts w:ascii="Times New Roman;serif" w:hAnsi="Times New Roman;serif"/>
          <w:b w:val="false"/>
          <w:color w:val="000000"/>
          <w:sz w:val="24"/>
          <w:u w:val="single"/>
        </w:rPr>
        <w:t>Section 17</w:t>
      </w:r>
      <w:r>
        <w:rPr>
          <w:rFonts w:ascii="Times New Roman;serif" w:hAnsi="Times New Roman;serif"/>
          <w:b w:val="false"/>
          <w:color w:val="000000"/>
          <w:sz w:val="24"/>
        </w:rPr>
        <w:t>.</w:t>
      </w:r>
    </w:p>
    <w:p>
      <w:pPr>
        <w:pStyle w:val="TextBody"/>
        <w:bidi w:val="0"/>
        <w:spacing w:before="0" w:after="0"/>
        <w:ind w:left="0" w:right="0" w:firstLine="720"/>
        <w:jc w:val="left"/>
        <w:rPr/>
      </w:pPr>
      <w:r>
        <w:rPr/>
      </w:r>
    </w:p>
    <w:p>
      <w:pPr>
        <w:pStyle w:val="TextBody"/>
        <w:bidi w:val="0"/>
        <w:spacing w:lineRule="auto" w:line="288"/>
        <w:ind w:left="0" w:right="0" w:firstLine="720"/>
        <w:jc w:val="both"/>
        <w:rPr/>
      </w:pPr>
      <w:r>
        <w:rPr>
          <w:rFonts w:ascii="Times New Roman;serif" w:hAnsi="Times New Roman;serif"/>
          <w:b w:val="false"/>
          <w:color w:val="000000"/>
          <w:sz w:val="24"/>
          <w:u w:val="single"/>
        </w:rPr>
        <w:t>17.5    Election of Remedies</w:t>
      </w:r>
      <w:r>
        <w:rPr>
          <w:rFonts w:ascii="Times New Roman;serif" w:hAnsi="Times New Roman;serif"/>
          <w:b w:val="false"/>
          <w:color w:val="000000"/>
          <w:sz w:val="24"/>
        </w:rPr>
        <w:t xml:space="preserve">. If Agent and the Lenders may, under applicable law, proceed to realize its benefits under any of the Loan Documents giving Agent and the Lenders a Lien upon any Collateral, whether owned by any Borrower or by any other Person, either by judicial foreclosure or by non-judicial sale or enforcement, Agent and the Lenders may, at their sole option, determine which of its remedies or rights it may pursue without affecting any of its rights and remedies under this </w:t>
      </w:r>
      <w:r>
        <w:rPr>
          <w:rFonts w:ascii="Times New Roman;serif" w:hAnsi="Times New Roman;serif"/>
          <w:b w:val="false"/>
          <w:color w:val="000000"/>
          <w:sz w:val="24"/>
          <w:u w:val="single"/>
        </w:rPr>
        <w:t>Section 17</w:t>
      </w:r>
      <w:r>
        <w:rPr>
          <w:rFonts w:ascii="Times New Roman;serif" w:hAnsi="Times New Roman;serif"/>
          <w:b w:val="false"/>
          <w:color w:val="000000"/>
          <w:sz w:val="24"/>
        </w:rPr>
        <w:t xml:space="preserve">. If, in the exercise of any of their rights and remedies, Agent and the Lenders shall forfeit any of its rights or remedies (including, without limitation, its right to enter a deficiency judgment against any Borrower or any other Person), whether because of any applicable laws pertaining to “election of remedies” or the like, each Borrower hereby consents to such action by Agent and the Lenders and waives any claim based upon such action, even if such action by Agent and the Lenders shall result in a full or partial loss of any rights of subrogation that each Co-Borrower might otherwise have had but for such action by Agent and the Lenders. Any election of remedies that results in the denial or impairment of the right of Agent and the Lenders to seek a deficiency judgment against any Borrower shall not impair any other Borrower’s obligation to pay the full amount of the Obligations. In the event Agent and the Lenders shall bid at any foreclosure or trustee’s sale or at any private sale permitted by law or the Loan Documents, Agent and the Lenders may bid all or less than the amount of the Obligations and the amount of such bid need not be paid by Agent and the Lenders but shall be credited against the Obligations. The amount of the successful bid at any such sale, whether Agent and the Lenders or any other party is the successful bidder, shall be conclusively deemed to be the fair market value of the Collateral and the difference between such bid amount and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82"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the remaining balance of the Obligations shall be conclusively deemed to be the amount of the Obligations guaranteed under this </w:t>
      </w:r>
      <w:r>
        <w:rPr>
          <w:rFonts w:ascii="Times New Roman;serif" w:hAnsi="Times New Roman;serif"/>
          <w:b w:val="false"/>
          <w:color w:val="000000"/>
          <w:sz w:val="24"/>
          <w:u w:val="single"/>
        </w:rPr>
        <w:t>Section 17</w:t>
      </w:r>
      <w:r>
        <w:rPr>
          <w:rFonts w:ascii="Times New Roman;serif" w:hAnsi="Times New Roman;serif"/>
          <w:b w:val="false"/>
          <w:color w:val="000000"/>
          <w:sz w:val="24"/>
        </w:rPr>
        <w:t>, notwithstanding that any present or future law or court decision or ruling may have the effect of reducing the amount of any deficiency claim to which Agent and the Lenders might otherwise be entitled but for such bidding at any such sale.</w:t>
      </w:r>
    </w:p>
    <w:p>
      <w:pPr>
        <w:pStyle w:val="TextBody"/>
        <w:bidi w:val="0"/>
        <w:spacing w:before="0" w:after="0"/>
        <w:ind w:left="0" w:right="0" w:firstLine="720"/>
        <w:jc w:val="left"/>
        <w:rPr/>
      </w:pPr>
      <w:r>
        <w:rPr/>
      </w:r>
    </w:p>
    <w:p>
      <w:pPr>
        <w:pStyle w:val="TextBody"/>
        <w:bidi w:val="0"/>
        <w:spacing w:lineRule="auto" w:line="288" w:before="0" w:after="240"/>
        <w:ind w:left="0" w:right="0" w:hanging="420"/>
        <w:jc w:val="both"/>
        <w:rPr/>
      </w:pPr>
      <w:r>
        <w:rPr>
          <w:rFonts w:ascii="Times New Roman;serif" w:hAnsi="Times New Roman;serif"/>
          <w:b w:val="false"/>
          <w:color w:val="000000"/>
          <w:sz w:val="24"/>
          <w:u w:val="single"/>
        </w:rPr>
        <w:t>17.6    Limitation.</w:t>
      </w:r>
      <w:r>
        <w:rPr>
          <w:color w:val="000000"/>
        </w:rPr>
        <w:t xml:space="preserve"> </w:t>
      </w:r>
      <w:r>
        <w:rPr>
          <w:rFonts w:ascii="Times New Roman;serif" w:hAnsi="Times New Roman;serif"/>
          <w:b w:val="false"/>
          <w:color w:val="000000"/>
          <w:sz w:val="24"/>
        </w:rPr>
        <w:t xml:space="preserve">Notwithstanding any provision herein contained to the contrary, each Borrower’s liability under this </w:t>
      </w:r>
      <w:r>
        <w:rPr>
          <w:rFonts w:ascii="Times New Roman;serif" w:hAnsi="Times New Roman;serif"/>
          <w:b w:val="false"/>
          <w:color w:val="000000"/>
          <w:sz w:val="24"/>
          <w:u w:val="single"/>
        </w:rPr>
        <w:t>Section 17</w:t>
      </w:r>
      <w:r>
        <w:rPr>
          <w:color w:val="000000"/>
        </w:rPr>
        <w:t xml:space="preserve"> </w:t>
      </w:r>
      <w:r>
        <w:rPr>
          <w:rFonts w:ascii="Times New Roman;serif" w:hAnsi="Times New Roman;serif"/>
          <w:b w:val="false"/>
          <w:color w:val="000000"/>
          <w:sz w:val="24"/>
        </w:rPr>
        <w:t>(which liability is in any event in addition to amounts for which such Borrower is primarily liable under this Agreement) shall be limited to an amount not to exceed as of any date of determination the lesser of:</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    the net amount of all Loans advanced to any other Borrower under this Agreement and then re-loaned or otherwise transferred to, or for the benefit of, such Borrower; and</w:t>
      </w:r>
    </w:p>
    <w:p>
      <w:pPr>
        <w:pStyle w:val="TextBody"/>
        <w:bidi w:val="0"/>
        <w:spacing w:lineRule="auto" w:line="288" w:before="0" w:after="240"/>
        <w:ind w:left="0" w:right="0" w:hanging="360"/>
        <w:jc w:val="both"/>
        <w:rPr/>
      </w:pPr>
      <w:r>
        <w:rPr>
          <w:rFonts w:ascii="Times New Roman;serif" w:hAnsi="Times New Roman;serif"/>
          <w:b w:val="false"/>
          <w:color w:val="000000"/>
          <w:sz w:val="24"/>
        </w:rPr>
        <w:t xml:space="preserve">(B)    the amount that could be claimed by Agent and the Lenders from such Borrower under this </w:t>
      </w:r>
      <w:r>
        <w:rPr>
          <w:rFonts w:ascii="Times New Roman;serif" w:hAnsi="Times New Roman;serif"/>
          <w:b w:val="false"/>
          <w:color w:val="000000"/>
          <w:sz w:val="24"/>
          <w:u w:val="single"/>
        </w:rPr>
        <w:t>Section 17</w:t>
      </w:r>
      <w:r>
        <w:rPr>
          <w:color w:val="000000"/>
        </w:rPr>
        <w:t xml:space="preserve"> </w:t>
      </w:r>
      <w:r>
        <w:rPr>
          <w:rFonts w:ascii="Times New Roman;serif" w:hAnsi="Times New Roman;serif"/>
          <w:b w:val="false"/>
          <w:color w:val="000000"/>
          <w:sz w:val="24"/>
        </w:rPr>
        <w:t xml:space="preserve">without rendering such claim voidable or avoidable under Section 548 of the Bankruptcy Code or under any applicable state Uniform Fraudulent Transfer Act, Uniform Fraudulent Conveyance Act or similar statute or common law after taking into account, among other things, such Borrower’s right of contribution and indemnification from each other Borrower under </w:t>
      </w:r>
      <w:r>
        <w:rPr>
          <w:rFonts w:ascii="Times New Roman;serif" w:hAnsi="Times New Roman;serif"/>
          <w:b w:val="false"/>
          <w:color w:val="000000"/>
          <w:sz w:val="24"/>
          <w:u w:val="single"/>
        </w:rPr>
        <w:t>Section 16.7</w:t>
      </w:r>
      <w:r>
        <w:rPr>
          <w:rFonts w:ascii="Times New Roman;serif" w:hAnsi="Times New Roman;serif"/>
          <w:b w:val="false"/>
          <w:color w:val="000000"/>
          <w:sz w:val="24"/>
        </w:rPr>
        <w:t>.</w:t>
      </w:r>
    </w:p>
    <w:p>
      <w:pPr>
        <w:pStyle w:val="TextBody"/>
        <w:bidi w:val="0"/>
        <w:spacing w:lineRule="auto" w:line="288" w:before="0" w:after="240"/>
        <w:ind w:left="0" w:right="0" w:hanging="42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17.7    Contribution with Respect to Guaranty Obligations. </w:t>
      </w:r>
    </w:p>
    <w:p>
      <w:pPr>
        <w:pStyle w:val="TextBody"/>
        <w:bidi w:val="0"/>
        <w:spacing w:lineRule="auto" w:line="288" w:before="0" w:after="240"/>
        <w:ind w:left="0" w:right="0" w:hanging="360"/>
        <w:jc w:val="both"/>
        <w:rPr/>
      </w:pPr>
      <w:r>
        <w:rPr>
          <w:rFonts w:ascii="Times New Roman;serif" w:hAnsi="Times New Roman;serif"/>
          <w:b w:val="false"/>
          <w:color w:val="000000"/>
          <w:sz w:val="24"/>
        </w:rPr>
        <w:t xml:space="preserve">(A)    To the extent that any Borrower shall make a payment under this </w:t>
      </w:r>
      <w:r>
        <w:rPr>
          <w:rFonts w:ascii="Times New Roman;serif" w:hAnsi="Times New Roman;serif"/>
          <w:b w:val="false"/>
          <w:color w:val="000000"/>
          <w:sz w:val="24"/>
          <w:u w:val="single"/>
        </w:rPr>
        <w:t>Section 17</w:t>
      </w:r>
      <w:r>
        <w:rPr>
          <w:color w:val="000000"/>
        </w:rPr>
        <w:t xml:space="preserve"> </w:t>
      </w:r>
      <w:r>
        <w:rPr>
          <w:rFonts w:ascii="Times New Roman;serif" w:hAnsi="Times New Roman;serif"/>
          <w:b w:val="false"/>
          <w:color w:val="000000"/>
          <w:sz w:val="24"/>
        </w:rPr>
        <w:t>of all or any of the Obligations (other than Loans made to such Borrower for which it is primarily liable) (a “</w:t>
      </w:r>
      <w:r>
        <w:rPr>
          <w:rFonts w:ascii="Times New Roman;serif" w:hAnsi="Times New Roman;serif"/>
          <w:b w:val="false"/>
          <w:color w:val="000000"/>
          <w:sz w:val="24"/>
          <w:u w:val="single"/>
        </w:rPr>
        <w:t>Guarantor Payment</w:t>
      </w:r>
      <w:r>
        <w:rPr>
          <w:color w:val="000000"/>
        </w:rPr>
        <w:t>”</w:t>
      </w:r>
      <w:r>
        <w:rPr>
          <w:rFonts w:ascii="Times New Roman;serif" w:hAnsi="Times New Roman;serif"/>
          <w:b w:val="false"/>
          <w:color w:val="000000"/>
          <w:sz w:val="24"/>
        </w:rPr>
        <w:t>) that, taking into account all other Guarantor Payments then previously or concurrently made by any other Borrower, exceeds the amount that such Borrower would otherwise have paid if each Borrower had paid the aggregate Obligations satisfied by such Guarantor Payment in the same proportion that such Borrower’s “Allocable Amount” (as defined below) (as determined immediately prior to such Guarantor Payment) bore to the aggregate Allocable Amounts of each Borrower as determined immediately prior to the making of such Guarantor Payment, then, following indefeasible payment in full in cash of the Obligations and termination of the commitments to lend hereunder, such Borrower shall be entitled to receive contribution and indemnification payments from, and be reimbursed by, each other Borrower for the amount of such excess, pro rata based upon their respective Allocable Amounts in effect immediately prior to such Guarantor Payment.</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83"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ind w:left="0" w:right="0" w:hanging="360"/>
        <w:jc w:val="both"/>
        <w:rPr/>
      </w:pPr>
      <w:r>
        <w:rPr>
          <w:rFonts w:ascii="Times New Roman;serif" w:hAnsi="Times New Roman;serif"/>
          <w:b w:val="false"/>
          <w:color w:val="000000"/>
          <w:sz w:val="24"/>
        </w:rPr>
        <w:t>(B)    As of any date of determination, the “</w:t>
      </w:r>
      <w:r>
        <w:rPr>
          <w:rFonts w:ascii="Times New Roman;serif" w:hAnsi="Times New Roman;serif"/>
          <w:b w:val="false"/>
          <w:color w:val="000000"/>
          <w:sz w:val="24"/>
          <w:u w:val="single"/>
        </w:rPr>
        <w:t>Allocable Amount</w:t>
      </w:r>
      <w:r>
        <w:rPr>
          <w:color w:val="000000"/>
        </w:rPr>
        <w:t xml:space="preserve">” </w:t>
      </w:r>
      <w:r>
        <w:rPr>
          <w:rFonts w:ascii="Times New Roman;serif" w:hAnsi="Times New Roman;serif"/>
          <w:b w:val="false"/>
          <w:color w:val="000000"/>
          <w:sz w:val="24"/>
        </w:rPr>
        <w:t xml:space="preserve">of any Borrower shall be equal to the maximum amount of the claim that could then be recovered from such Borrower under this </w:t>
      </w:r>
      <w:r>
        <w:rPr>
          <w:rFonts w:ascii="Times New Roman;serif" w:hAnsi="Times New Roman;serif"/>
          <w:b w:val="false"/>
          <w:color w:val="000000"/>
          <w:sz w:val="24"/>
          <w:u w:val="single"/>
        </w:rPr>
        <w:t>Section 17</w:t>
      </w:r>
      <w:r>
        <w:rPr>
          <w:color w:val="000000"/>
        </w:rPr>
        <w:t xml:space="preserve"> </w:t>
      </w:r>
      <w:r>
        <w:rPr>
          <w:rFonts w:ascii="Times New Roman;serif" w:hAnsi="Times New Roman;serif"/>
          <w:b w:val="false"/>
          <w:color w:val="000000"/>
          <w:sz w:val="24"/>
        </w:rPr>
        <w:t>without rendering such claim voidable or avoidable under Section 548 of the Bankruptcy Code or under any applicable state Uniform Fraudulent Transfer Act, Uniform Fraudulent Conveyance Act or similar statute or common law.</w:t>
      </w:r>
    </w:p>
    <w:p>
      <w:pPr>
        <w:pStyle w:val="TextBody"/>
        <w:bidi w:val="0"/>
        <w:spacing w:lineRule="auto" w:line="288" w:before="0" w:after="240"/>
        <w:ind w:left="0" w:right="0" w:hanging="360"/>
        <w:jc w:val="both"/>
        <w:rPr/>
      </w:pPr>
      <w:r>
        <w:rPr>
          <w:rFonts w:ascii="Times New Roman;serif" w:hAnsi="Times New Roman;serif"/>
          <w:b w:val="false"/>
          <w:color w:val="000000"/>
          <w:sz w:val="24"/>
        </w:rPr>
        <w:t xml:space="preserve">(C)    This </w:t>
      </w:r>
      <w:r>
        <w:rPr>
          <w:rFonts w:ascii="Times New Roman;serif" w:hAnsi="Times New Roman;serif"/>
          <w:b w:val="false"/>
          <w:color w:val="000000"/>
          <w:sz w:val="24"/>
          <w:u w:val="single"/>
        </w:rPr>
        <w:t>Section 17.7(C)</w:t>
      </w:r>
      <w:r>
        <w:rPr>
          <w:color w:val="000000"/>
        </w:rPr>
        <w:t xml:space="preserve"> </w:t>
      </w:r>
      <w:r>
        <w:rPr>
          <w:rFonts w:ascii="Times New Roman;serif" w:hAnsi="Times New Roman;serif"/>
          <w:b w:val="false"/>
          <w:color w:val="000000"/>
          <w:sz w:val="24"/>
        </w:rPr>
        <w:t xml:space="preserve">is intended only to define the relative rights of each Borrower and nothing set forth in this </w:t>
      </w:r>
      <w:r>
        <w:rPr>
          <w:rFonts w:ascii="Times New Roman;serif" w:hAnsi="Times New Roman;serif"/>
          <w:b w:val="false"/>
          <w:color w:val="000000"/>
          <w:sz w:val="24"/>
          <w:u w:val="single"/>
        </w:rPr>
        <w:t>Section 17</w:t>
      </w:r>
      <w:r>
        <w:rPr>
          <w:color w:val="000000"/>
        </w:rPr>
        <w:t xml:space="preserve"> </w:t>
      </w:r>
      <w:r>
        <w:rPr>
          <w:rFonts w:ascii="Times New Roman;serif" w:hAnsi="Times New Roman;serif"/>
          <w:b w:val="false"/>
          <w:color w:val="000000"/>
          <w:sz w:val="24"/>
        </w:rPr>
        <w:t xml:space="preserve">is intended to or shall impair the obligations of each Borrower, jointly and severally, to pay any amounts as and when the same shall become due and payable in accordance with the terms of the Loan Agreement. Nothing contained in this </w:t>
      </w:r>
      <w:r>
        <w:rPr>
          <w:rFonts w:ascii="Times New Roman;serif" w:hAnsi="Times New Roman;serif"/>
          <w:b w:val="false"/>
          <w:color w:val="000000"/>
          <w:sz w:val="24"/>
          <w:u w:val="single"/>
        </w:rPr>
        <w:t>Section 17.7(C)</w:t>
      </w:r>
      <w:r>
        <w:rPr>
          <w:color w:val="000000"/>
        </w:rPr>
        <w:t xml:space="preserve"> </w:t>
      </w:r>
      <w:r>
        <w:rPr>
          <w:rFonts w:ascii="Times New Roman;serif" w:hAnsi="Times New Roman;serif"/>
          <w:b w:val="false"/>
          <w:color w:val="000000"/>
          <w:sz w:val="24"/>
        </w:rPr>
        <w:t>shall limit the liability of any Borrower to pay the Loans made directly or indirectly to such Borrower and accrued interest, fees and expenses with respect thereto for which such Borrower shall be primarily liable.</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(D)    The parties hereto acknowledge that the rights of contribution and indemnification hereunder shall constitute assets of each Borrower to which such contribution and indemnification is owing.</w:t>
      </w:r>
    </w:p>
    <w:p>
      <w:pPr>
        <w:pStyle w:val="TextBody"/>
        <w:bidi w:val="0"/>
        <w:spacing w:lineRule="auto" w:line="288" w:before="0" w:after="240"/>
        <w:ind w:left="0" w:right="0" w:hanging="360"/>
        <w:jc w:val="both"/>
        <w:rPr/>
      </w:pPr>
      <w:r>
        <w:rPr>
          <w:rFonts w:ascii="Times New Roman;serif" w:hAnsi="Times New Roman;serif"/>
          <w:b w:val="false"/>
          <w:color w:val="000000"/>
          <w:sz w:val="24"/>
        </w:rPr>
        <w:t xml:space="preserve">(E)    The rights of the indemnifying Borrower against the other Borrower under this </w:t>
      </w:r>
      <w:r>
        <w:rPr>
          <w:rFonts w:ascii="Times New Roman;serif" w:hAnsi="Times New Roman;serif"/>
          <w:b w:val="false"/>
          <w:color w:val="000000"/>
          <w:sz w:val="24"/>
          <w:u w:val="single"/>
        </w:rPr>
        <w:t>Section 17</w:t>
      </w:r>
      <w:r>
        <w:rPr>
          <w:color w:val="000000"/>
        </w:rPr>
        <w:t xml:space="preserve"> </w:t>
      </w:r>
      <w:r>
        <w:rPr>
          <w:rFonts w:ascii="Times New Roman;serif" w:hAnsi="Times New Roman;serif"/>
          <w:b w:val="false"/>
          <w:color w:val="000000"/>
          <w:sz w:val="24"/>
        </w:rPr>
        <w:t>shall be exercisable upon the full and indefeasible payment of the Obligations and the termination of the commitments to lend hereunder.</w:t>
      </w:r>
    </w:p>
    <w:p>
      <w:pPr>
        <w:pStyle w:val="TextBody"/>
        <w:bidi w:val="0"/>
        <w:spacing w:lineRule="auto" w:line="288" w:before="0" w:after="0"/>
        <w:ind w:left="0" w:right="0" w:hanging="420"/>
        <w:jc w:val="both"/>
        <w:rPr/>
      </w:pPr>
      <w:r>
        <w:rPr>
          <w:rFonts w:ascii="Times New Roman;serif" w:hAnsi="Times New Roman;serif"/>
          <w:b w:val="false"/>
          <w:color w:val="000000"/>
          <w:sz w:val="24"/>
          <w:u w:val="single"/>
        </w:rPr>
        <w:t>17.8    Liability Cumulative.</w:t>
      </w:r>
      <w:r>
        <w:rPr>
          <w:color w:val="000000"/>
        </w:rPr>
        <w:t xml:space="preserve"> </w:t>
      </w:r>
      <w:r>
        <w:rPr>
          <w:rFonts w:ascii="Times New Roman;serif" w:hAnsi="Times New Roman;serif"/>
          <w:b w:val="false"/>
          <w:color w:val="000000"/>
          <w:sz w:val="24"/>
        </w:rPr>
        <w:t xml:space="preserve">The liability of each Borrower under this </w:t>
      </w:r>
      <w:r>
        <w:rPr>
          <w:rFonts w:ascii="Times New Roman;serif" w:hAnsi="Times New Roman;serif"/>
          <w:b w:val="false"/>
          <w:color w:val="000000"/>
          <w:sz w:val="24"/>
          <w:u w:val="single"/>
        </w:rPr>
        <w:t>Section 17</w:t>
      </w:r>
      <w:r>
        <w:rPr>
          <w:color w:val="000000"/>
        </w:rPr>
        <w:t xml:space="preserve"> </w:t>
      </w:r>
      <w:r>
        <w:rPr>
          <w:rFonts w:ascii="Times New Roman;serif" w:hAnsi="Times New Roman;serif"/>
          <w:b w:val="false"/>
          <w:color w:val="000000"/>
          <w:sz w:val="24"/>
        </w:rPr>
        <w:t>is in addition to and shall be cumulative with all liabilities of each Borrower to the Agent and the Lenders under the Loan Agreement and the other Loan Documents to which such Borrower is a party or in respect of any Obligations or obligation of the other Borrower, without any limitation as to amount, unless the instrument or agreement evidencing or creating such other liability specifically provides to the contrary.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Conditions to Effectiveness</w:t>
      </w:r>
      <w:r>
        <w:rPr>
          <w:rFonts w:ascii="Times New Roman;serif" w:hAnsi="Times New Roman;serif"/>
          <w:b w:val="false"/>
          <w:color w:val="000000"/>
          <w:sz w:val="24"/>
        </w:rPr>
        <w:t>. Each Lender’s consent and agreement herein is expressly conditioned on the following: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Borrower executing and delivering to Lenders a copy of this Amendment; </w:t>
      </w:r>
    </w:p>
    <w:p>
      <w:pPr>
        <w:pStyle w:val="TextBody"/>
        <w:bidi w:val="0"/>
        <w:spacing w:before="0" w:after="0"/>
        <w:jc w:val="both"/>
        <w:rPr/>
      </w:pPr>
      <w:r>
        <w:rPr/>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each of the representations and warranties of Borrower made in this Amendment shall be true and correct in all material respects on and as of the date hereof as if made on and as of such date, both before and immediately after giving effect to this Amendment (except with respect to any such representation or warranty which is already qualified by a materiality qualifier, in which case such representation or warranty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84"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true and correct in all respects, and where such representations and warranties expressly relate to an earlier date, in which case such representations and warranties are true and correct in all material respects as of such earlier date);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(c)    a joinder agreement duly executed by Parent, Agent and Lenders, in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 (the “</w:t>
      </w:r>
      <w:r>
        <w:rPr>
          <w:rFonts w:ascii="Times New Roman;serif" w:hAnsi="Times New Roman;serif"/>
          <w:b w:val="false"/>
          <w:color w:val="000000"/>
          <w:sz w:val="24"/>
          <w:u w:val="single"/>
        </w:rPr>
        <w:t>Joinder Agreement</w:t>
      </w:r>
      <w:r>
        <w:rPr>
          <w:color w:val="000000"/>
        </w:rPr>
        <w:t>”</w:t>
      </w:r>
      <w:r>
        <w:rPr>
          <w:rFonts w:ascii="Times New Roman;serif" w:hAnsi="Times New Roman;serif"/>
          <w:b w:val="false"/>
          <w:color w:val="000000"/>
          <w:sz w:val="24"/>
        </w:rPr>
        <w:t xml:space="preserve">), which shall provide for the joinder of Parent as a co-Borrower under the Loan Agreement;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a certificate of the secretary or assistant secretary of Parent, dated as of the date hereof, with copies of the following documents attached: (i) the certificate of incorporation and bylaws (or equivalent documents) of Parent certified by Parent as being complete and in full force and effect on the date thereof, (ii) incumbency and representative signatures, and (iii) resolutions authorizing the execution and delivery of the Joinder Agreement and each of the other Loan Documents;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    a good standing certificate from Parent’s state of organization and the state in which Parent’s principal place of business is located, each dated as of a date no earlier than thirty (30) days prior to the date hereof;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(f)    evidence of the insurance coverage required by </w:t>
      </w:r>
      <w:r>
        <w:rPr>
          <w:rFonts w:ascii="Times New Roman;serif" w:hAnsi="Times New Roman;serif"/>
          <w:b w:val="false"/>
          <w:color w:val="000000"/>
          <w:sz w:val="24"/>
          <w:u w:val="single"/>
        </w:rPr>
        <w:t>Section 6.8</w:t>
      </w:r>
      <w:r>
        <w:rPr>
          <w:color w:val="000000"/>
        </w:rPr>
        <w:t xml:space="preserve"> </w:t>
      </w:r>
      <w:r>
        <w:rPr>
          <w:rFonts w:ascii="Times New Roman;serif" w:hAnsi="Times New Roman;serif"/>
          <w:b w:val="false"/>
          <w:color w:val="000000"/>
          <w:sz w:val="24"/>
        </w:rPr>
        <w:t xml:space="preserve">of the Loan Agreement;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(g)    all necessary consents of shareholders and other third parties with respect to the execution, delivery and performance of the Joinder Agreement and the other Loan Documents;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a customary legal opinion of Parent’s counsel, dated as of the date hereof, covering the Joinder Agreement, dated as of the Closing Date, in form and substance reasonably satisfactory to Agent and the Lenders;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Agent shall have received such documents, instruments and agreements, including UCC financing statements or amendments to UCC financing statements and UCC financing statement searches, as Agent shall reasonably request to evidence the perfection and priority of the security interests granted to Agent pursuant to Section 4 of the Loan Agreement. Parent authorizes Agent to file any UCC financing statements, continuations of or amendments to UCC financing statements they deem necessary to perfect its security interest in the Collateral;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    payment of all fees and expenses then due under the Joinder Agreement or under any other Loan Document; and</w:t>
      </w:r>
    </w:p>
    <w:p>
      <w:pPr>
        <w:pStyle w:val="TextBody"/>
        <w:bidi w:val="0"/>
        <w:spacing w:before="0" w:after="0"/>
        <w:ind w:left="0" w:right="0" w:firstLine="720"/>
        <w:jc w:val="left"/>
        <w:rPr/>
      </w:pPr>
      <w:r>
        <w:rPr/>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(k)    such other documents and completion of such other matters, as Lenders may reasonably deem necessary or appropriate, including all documentation and other information required under applicable “know your customer” and anti-money laundering rules and regulations, including the USA Patriot Act.</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85"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val="false"/>
          <w:color w:val="000000"/>
          <w:sz w:val="24"/>
        </w:rPr>
        <w:t>5.    </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At and as of the date of this Amendment and both prior to and immediately after giving effect to this Amendment, each of the representations and warranties contained in the Loan Agreement is true and correct in all material respects (except with respect to any such representation or warranty which is already qualified by a materiality qualifier, in which case such representation or warranty shall be true and correct in all respects, and where such representations and warranties expressly relate to an earlier date, in which case such representations and warranties are true and correct in all material respects as of such earlier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Borrower has all necessary power and authority to execute, deliver, and perform in accordance with the terms thereof, this Amendment. Borrower has all requisite power and authority to own and operate its Property and to carry on its businesses as now conducted.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Effect of Agreement</w:t>
      </w:r>
      <w:r>
        <w:rPr>
          <w:rFonts w:ascii="Times New Roman;serif" w:hAnsi="Times New Roman;serif"/>
          <w:b w:val="false"/>
          <w:color w:val="000000"/>
          <w:sz w:val="24"/>
        </w:rPr>
        <w:t>. On and after the date hereof, each reference to the Loan Agreement in the Loan Agreement or in any other Loan Document shall mean the Loan Agreement as amended by this Amendment. Except as expressly provided hereunder, the execution, delivery and effectiveness of this Amendment shall not operate as a waiver of any right, power, or remedy of any Lender, nor constitute a waiver of any provision of the Loan Agreement. Except to the limited extent expressly provided herein, nothing contained herein shall, or shall be construed to (nor shall Borrower ever argue to the contrary) (i) modify the Loan Agreement or any other Loan Document, (ii) modify, waive, impair, or affect any of the covenants, agreements, terms, and conditions thereof, or (iii) waive the due keeping, observance and/or performance thereof, each of which is hereby ratified and confirmed by Borrower. Except as amended above, the Loan Agreement remains in full force and effect.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Headings</w:t>
      </w:r>
      <w:r>
        <w:rPr>
          <w:rFonts w:ascii="Times New Roman;serif" w:hAnsi="Times New Roman;serif"/>
          <w:b w:val="false"/>
          <w:color w:val="000000"/>
          <w:sz w:val="24"/>
        </w:rPr>
        <w:t>. Headings in this Amendment are for convenience of reference only and are not part of the substance hereof.</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8.    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Amendment shall be governed by and construed in accordance with the laws of the State of New York without reference to conflicts of law rules.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9.    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Amendment may be executed in any number of counterparts, including by electronic or facsimile transmission, each of which when so delivered shall be deemed an original, but all such counterparts taken together shall constitute but one and the same instrument.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10.    </w:t>
      </w:r>
      <w:r>
        <w:rPr>
          <w:rFonts w:ascii="Times New Roman;serif" w:hAnsi="Times New Roman;serif"/>
          <w:b w:val="false"/>
          <w:color w:val="000000"/>
          <w:sz w:val="24"/>
          <w:u w:val="single"/>
        </w:rPr>
        <w:t>Integration</w:t>
      </w:r>
      <w:r>
        <w:rPr>
          <w:rFonts w:ascii="Times New Roman;serif" w:hAnsi="Times New Roman;serif"/>
          <w:b w:val="false"/>
          <w:color w:val="000000"/>
          <w:sz w:val="24"/>
        </w:rPr>
        <w:t>. This Amendment and the Loan Documents constitute and contain the entire agreement of Borrower and Lenders with respect to their respective subject matters, and supersede any and all prior agreements, correspondence and communications.</w:t>
      </w:r>
    </w:p>
    <w:p>
      <w:pPr>
        <w:pStyle w:val="TextBody"/>
        <w:bidi w:val="0"/>
        <w:spacing w:before="0" w:after="0"/>
        <w:ind w:left="0" w:right="0" w:firstLine="720"/>
        <w:jc w:val="left"/>
        <w:rPr/>
      </w:pPr>
      <w:r>
        <w:rPr/>
      </w:r>
    </w:p>
    <w:p>
      <w:pPr>
        <w:pStyle w:val="TextBody"/>
        <w:bidi w:val="0"/>
        <w:spacing w:lineRule="auto" w:line="288"/>
        <w:jc w:val="center"/>
        <w:rPr>
          <w:rFonts w:ascii="Times New Roman;serif" w:hAnsi="Times New Roman;serif"/>
          <w:b w:val="false"/>
          <w:i/>
          <w:color w:val="000000"/>
          <w:sz w:val="24"/>
        </w:rPr>
      </w:pPr>
      <w:r>
        <w:rPr>
          <w:rFonts w:ascii="Times New Roman;serif" w:hAnsi="Times New Roman;serif"/>
          <w:b w:val="false"/>
          <w:i/>
          <w:color w:val="000000"/>
          <w:sz w:val="24"/>
        </w:rPr>
        <w:t>[Remainder of Page Intentionally Left Blank]</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86"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Borrower, the Agent and the Lenders have caused this Amendment to be executed as of the day and year first above written.</w:t>
      </w:r>
    </w:p>
    <w:p>
      <w:pPr>
        <w:pStyle w:val="TextBody"/>
        <w:bidi w:val="0"/>
        <w:spacing w:before="0" w:after="0"/>
        <w:ind w:left="0" w:right="0" w:firstLine="720"/>
        <w:jc w:val="both"/>
        <w:rPr/>
      </w:pPr>
      <w:r>
        <w:rPr/>
      </w:r>
    </w:p>
    <w:tbl>
      <w:tblPr>
        <w:tblW w:w="7018" w:type="dxa"/>
        <w:jc w:val="left"/>
        <w:tblInd w:w="0" w:type="dxa"/>
        <w:tblLayout w:type="fixed"/>
        <w:tblCellMar>
          <w:top w:w="28" w:type="dxa"/>
          <w:left w:w="28" w:type="dxa"/>
          <w:bottom w:w="28" w:type="dxa"/>
          <w:right w:w="28" w:type="dxa"/>
        </w:tblCellMar>
      </w:tblPr>
      <w:tblGrid>
        <w:gridCol w:w="1249"/>
        <w:gridCol w:w="1099"/>
        <w:gridCol w:w="1101"/>
        <w:gridCol w:w="1044"/>
        <w:gridCol w:w="1044"/>
        <w:gridCol w:w="1481"/>
      </w:tblGrid>
      <w:tr>
        <w:trPr/>
        <w:tc>
          <w:tcPr>
            <w:tcW w:w="124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BORROWER: </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KODIAK ROBOTICS, INC.</w:t>
            </w:r>
          </w:p>
          <w:p>
            <w:pPr>
              <w:pStyle w:val="TableContents"/>
              <w:bidi w:val="0"/>
              <w:spacing w:before="0" w:after="0"/>
              <w:jc w:val="both"/>
              <w:rPr/>
            </w:pPr>
            <w:r>
              <w:rPr/>
            </w:r>
          </w:p>
          <w:p>
            <w:pPr>
              <w:pStyle w:val="TableContents"/>
              <w:bidi w:val="0"/>
              <w:spacing w:lineRule="auto" w:line="288" w:before="120" w:after="283"/>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Surajit Datta</w:t>
            </w:r>
          </w:p>
          <w:p>
            <w:pPr>
              <w:pStyle w:val="TableContents"/>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Name: Surajit Datta</w:t>
            </w:r>
          </w:p>
          <w:p>
            <w:pPr>
              <w:pStyle w:val="TableContents"/>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Title: Chief Financial Officer</w:t>
            </w:r>
          </w:p>
        </w:tc>
        <w:tc>
          <w:tcPr>
            <w:tcW w:w="3569" w:type="dxa"/>
            <w:gridSpan w:val="3"/>
            <w:tcBorders/>
            <w:tcMar>
              <w:top w:w="0" w:type="dxa"/>
              <w:left w:w="0" w:type="dxa"/>
              <w:bottom w:w="0" w:type="dxa"/>
              <w:right w:w="0" w:type="dxa"/>
            </w:tcMar>
            <w:vAlign w:val="center"/>
          </w:tcPr>
          <w:p>
            <w:pPr>
              <w:pStyle w:val="TableContents"/>
              <w:bidi w:val="0"/>
              <w:spacing w:before="120" w:after="283"/>
              <w:jc w:val="both"/>
              <w:rPr/>
            </w:pPr>
            <w:r>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34" w:after="283"/>
              <w:jc w:val="left"/>
              <w:rPr>
                <w:rFonts w:ascii="Times New Roman;serif" w:hAnsi="Times New Roman;serif"/>
                <w:b/>
                <w:color w:val="231F20"/>
                <w:sz w:val="24"/>
              </w:rPr>
            </w:pPr>
            <w:r>
              <w:rPr>
                <w:rFonts w:ascii="Times New Roman;serif" w:hAnsi="Times New Roman;serif"/>
                <w:b/>
                <w:color w:val="231F20"/>
                <w:sz w:val="24"/>
              </w:rPr>
              <w:t>COLLATERAL AGENT:</w:t>
            </w:r>
          </w:p>
          <w:p>
            <w:pPr>
              <w:pStyle w:val="TableContents"/>
              <w:bidi w:val="0"/>
              <w:spacing w:lineRule="auto" w:line="288" w:before="34" w:after="283"/>
              <w:jc w:val="both"/>
              <w:rPr>
                <w:rFonts w:ascii="Times New Roman;serif" w:hAnsi="Times New Roman;serif"/>
                <w:b w:val="false"/>
                <w:color w:val="231F20"/>
                <w:sz w:val="24"/>
              </w:rPr>
            </w:pPr>
            <w:r>
              <w:rPr>
                <w:rFonts w:ascii="Times New Roman;serif" w:hAnsi="Times New Roman;serif"/>
                <w:b w:val="false"/>
                <w:color w:val="231F20"/>
                <w:sz w:val="24"/>
              </w:rPr>
              <w:t>ARES AGENT SERVICES, L.P.,</w:t>
            </w:r>
          </w:p>
          <w:p>
            <w:pPr>
              <w:pStyle w:val="TableContents"/>
              <w:bidi w:val="0"/>
              <w:spacing w:lineRule="auto" w:line="288" w:before="34" w:after="283"/>
              <w:jc w:val="both"/>
              <w:rPr>
                <w:rFonts w:ascii="Times New Roman;serif" w:hAnsi="Times New Roman;serif"/>
                <w:b w:val="false"/>
                <w:color w:val="231F20"/>
                <w:sz w:val="24"/>
              </w:rPr>
            </w:pPr>
            <w:r>
              <w:rPr>
                <w:rFonts w:ascii="Times New Roman;serif" w:hAnsi="Times New Roman;serif"/>
                <w:b w:val="false"/>
                <w:color w:val="231F20"/>
                <w:sz w:val="24"/>
              </w:rPr>
              <w:t>as Collateral Agent</w:t>
            </w:r>
          </w:p>
          <w:p>
            <w:pPr>
              <w:pStyle w:val="TableContents"/>
              <w:bidi w:val="0"/>
              <w:spacing w:before="34" w:after="283"/>
              <w:jc w:val="both"/>
              <w:rPr/>
            </w:pPr>
            <w:r>
              <w:rPr/>
            </w:r>
          </w:p>
          <w:p>
            <w:pPr>
              <w:pStyle w:val="TableContents"/>
              <w:bidi w:val="0"/>
              <w:spacing w:lineRule="auto" w:line="288" w:before="34" w:after="283"/>
              <w:jc w:val="both"/>
              <w:rPr>
                <w:rFonts w:ascii="Times New Roman;serif" w:hAnsi="Times New Roman;serif"/>
                <w:b w:val="false"/>
                <w:color w:val="231F20"/>
                <w:sz w:val="24"/>
              </w:rPr>
            </w:pPr>
            <w:r>
              <w:rPr>
                <w:rFonts w:ascii="Times New Roman;serif" w:hAnsi="Times New Roman;serif"/>
                <w:b w:val="false"/>
                <w:color w:val="231F20"/>
                <w:sz w:val="24"/>
              </w:rPr>
              <w:t>Acting by its General Partner</w:t>
            </w:r>
          </w:p>
          <w:p>
            <w:pPr>
              <w:pStyle w:val="TableContents"/>
              <w:bidi w:val="0"/>
              <w:spacing w:before="34" w:after="283"/>
              <w:jc w:val="both"/>
              <w:rPr/>
            </w:pPr>
            <w:r>
              <w:rPr/>
            </w:r>
          </w:p>
          <w:p>
            <w:pPr>
              <w:pStyle w:val="TableContents"/>
              <w:bidi w:val="0"/>
              <w:spacing w:lineRule="atLeast" w:line="220" w:before="18" w:after="283"/>
              <w:jc w:val="left"/>
              <w:rPr>
                <w:rFonts w:ascii="Times New Roman;serif" w:hAnsi="Times New Roman;serif"/>
                <w:b w:val="false"/>
                <w:color w:val="231F20"/>
                <w:sz w:val="22"/>
              </w:rPr>
            </w:pPr>
            <w:r>
              <w:rPr>
                <w:rFonts w:ascii="Times New Roman;serif" w:hAnsi="Times New Roman;serif"/>
                <w:b w:val="false"/>
                <w:color w:val="231F20"/>
                <w:sz w:val="22"/>
              </w:rPr>
              <w:t>Ares Agent Services GP LLC</w:t>
            </w:r>
          </w:p>
          <w:p>
            <w:pPr>
              <w:pStyle w:val="TableContents"/>
              <w:bidi w:val="0"/>
              <w:spacing w:before="120" w:after="283"/>
              <w:jc w:val="left"/>
              <w:rPr/>
            </w:pPr>
            <w:r>
              <w:rPr/>
            </w:r>
          </w:p>
          <w:p>
            <w:pPr>
              <w:pStyle w:val="TableContents"/>
              <w:bidi w:val="0"/>
              <w:spacing w:lineRule="auto" w:line="288" w:before="120" w:after="283"/>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Thomas Griffin III</w:t>
            </w:r>
          </w:p>
          <w:p>
            <w:pPr>
              <w:pStyle w:val="TableContents"/>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Name: Thomas Griffin III</w:t>
            </w:r>
          </w:p>
          <w:p>
            <w:pPr>
              <w:pStyle w:val="TableContents"/>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Title: Vice President</w:t>
            </w:r>
          </w:p>
        </w:tc>
        <w:tc>
          <w:tcPr>
            <w:tcW w:w="3569" w:type="dxa"/>
            <w:gridSpan w:val="3"/>
            <w:tcBorders/>
            <w:tcMar>
              <w:top w:w="0" w:type="dxa"/>
              <w:left w:w="0" w:type="dxa"/>
              <w:bottom w:w="0" w:type="dxa"/>
              <w:right w:w="0" w:type="dxa"/>
            </w:tcMar>
            <w:vAlign w:val="center"/>
          </w:tcPr>
          <w:p>
            <w:pPr>
              <w:pStyle w:val="TableContents"/>
              <w:bidi w:val="0"/>
              <w:spacing w:lineRule="auto" w:line="288" w:before="34" w:after="283"/>
              <w:jc w:val="left"/>
              <w:rPr/>
            </w:pPr>
            <w:r>
              <w:rPr>
                <w:rFonts w:ascii="Times New Roman;serif" w:hAnsi="Times New Roman;serif"/>
                <w:b/>
                <w:color w:val="231F20"/>
                <w:sz w:val="24"/>
              </w:rPr>
              <w:t>LENDER REPRESENTATIVE</w:t>
            </w:r>
            <w:r>
              <w:rPr>
                <w:rFonts w:ascii="Times New Roman;serif" w:hAnsi="Times New Roman;serif"/>
                <w:b w:val="false"/>
                <w:color w:val="231F20"/>
                <w:sz w:val="24"/>
              </w:rPr>
              <w:t>:</w:t>
            </w:r>
          </w:p>
          <w:p>
            <w:pPr>
              <w:pStyle w:val="TableContents"/>
              <w:bidi w:val="0"/>
              <w:spacing w:lineRule="auto" w:line="288" w:before="34" w:after="283"/>
              <w:jc w:val="both"/>
              <w:rPr>
                <w:rFonts w:ascii="Times New Roman;serif" w:hAnsi="Times New Roman;serif"/>
                <w:b w:val="false"/>
                <w:color w:val="231F20"/>
                <w:sz w:val="24"/>
              </w:rPr>
            </w:pPr>
            <w:r>
              <w:rPr>
                <w:rFonts w:ascii="Times New Roman;serif" w:hAnsi="Times New Roman;serif"/>
                <w:b w:val="false"/>
                <w:color w:val="231F20"/>
                <w:sz w:val="24"/>
              </w:rPr>
              <w:t>ARES AGENT SERVICES, L.P.,</w:t>
            </w:r>
          </w:p>
          <w:p>
            <w:pPr>
              <w:pStyle w:val="TableContents"/>
              <w:bidi w:val="0"/>
              <w:spacing w:lineRule="auto" w:line="288" w:before="34" w:after="283"/>
              <w:jc w:val="both"/>
              <w:rPr>
                <w:rFonts w:ascii="Times New Roman;serif" w:hAnsi="Times New Roman;serif"/>
                <w:b w:val="false"/>
                <w:color w:val="231F20"/>
                <w:sz w:val="24"/>
              </w:rPr>
            </w:pPr>
            <w:r>
              <w:rPr>
                <w:rFonts w:ascii="Times New Roman;serif" w:hAnsi="Times New Roman;serif"/>
                <w:b w:val="false"/>
                <w:color w:val="231F20"/>
                <w:sz w:val="24"/>
              </w:rPr>
              <w:t>as Lender Representative</w:t>
            </w:r>
          </w:p>
          <w:p>
            <w:pPr>
              <w:pStyle w:val="TableContents"/>
              <w:bidi w:val="0"/>
              <w:spacing w:before="34" w:after="283"/>
              <w:jc w:val="both"/>
              <w:rPr/>
            </w:pPr>
            <w:r>
              <w:rPr/>
            </w:r>
          </w:p>
          <w:p>
            <w:pPr>
              <w:pStyle w:val="TableContents"/>
              <w:bidi w:val="0"/>
              <w:spacing w:lineRule="auto" w:line="288" w:before="34" w:after="283"/>
              <w:jc w:val="both"/>
              <w:rPr>
                <w:rFonts w:ascii="Times New Roman;serif" w:hAnsi="Times New Roman;serif"/>
                <w:b w:val="false"/>
                <w:color w:val="231F20"/>
                <w:sz w:val="24"/>
              </w:rPr>
            </w:pPr>
            <w:r>
              <w:rPr>
                <w:rFonts w:ascii="Times New Roman;serif" w:hAnsi="Times New Roman;serif"/>
                <w:b w:val="false"/>
                <w:color w:val="231F20"/>
                <w:sz w:val="24"/>
              </w:rPr>
              <w:t>Acting by its General Partner</w:t>
            </w:r>
          </w:p>
          <w:p>
            <w:pPr>
              <w:pStyle w:val="TableContents"/>
              <w:bidi w:val="0"/>
              <w:spacing w:before="34" w:after="283"/>
              <w:jc w:val="both"/>
              <w:rPr/>
            </w:pPr>
            <w:r>
              <w:rPr/>
            </w:r>
          </w:p>
          <w:p>
            <w:pPr>
              <w:pStyle w:val="TableContents"/>
              <w:bidi w:val="0"/>
              <w:spacing w:lineRule="atLeast" w:line="220" w:before="18" w:after="283"/>
              <w:jc w:val="left"/>
              <w:rPr>
                <w:rFonts w:ascii="Times New Roman;serif" w:hAnsi="Times New Roman;serif"/>
                <w:b w:val="false"/>
                <w:color w:val="231F20"/>
                <w:sz w:val="22"/>
              </w:rPr>
            </w:pPr>
            <w:r>
              <w:rPr>
                <w:rFonts w:ascii="Times New Roman;serif" w:hAnsi="Times New Roman;serif"/>
                <w:b w:val="false"/>
                <w:color w:val="231F20"/>
                <w:sz w:val="22"/>
              </w:rPr>
              <w:t>Ares Agent services GP LLC</w:t>
            </w:r>
          </w:p>
          <w:p>
            <w:pPr>
              <w:pStyle w:val="TableContents"/>
              <w:bidi w:val="0"/>
              <w:spacing w:before="18" w:after="283"/>
              <w:jc w:val="left"/>
              <w:rPr/>
            </w:pPr>
            <w:r>
              <w:rPr/>
            </w:r>
          </w:p>
          <w:p>
            <w:pPr>
              <w:pStyle w:val="TableContents"/>
              <w:bidi w:val="0"/>
              <w:spacing w:lineRule="auto" w:line="288" w:before="120" w:after="283"/>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/Thomas Griffin III</w:t>
            </w:r>
          </w:p>
          <w:p>
            <w:pPr>
              <w:pStyle w:val="TableContents"/>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Name: Thomas Griffin III</w:t>
            </w:r>
          </w:p>
          <w:p>
            <w:pPr>
              <w:pStyle w:val="TableContents"/>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Title: Vice President</w:t>
            </w:r>
          </w:p>
        </w:tc>
      </w:tr>
      <w:tr>
        <w:trPr/>
        <w:tc>
          <w:tcPr>
            <w:tcW w:w="3449" w:type="dxa"/>
            <w:gridSpan w:val="3"/>
            <w:tcBorders/>
            <w:tcMar>
              <w:top w:w="0" w:type="dxa"/>
              <w:left w:w="0" w:type="dxa"/>
              <w:bottom w:w="0" w:type="dxa"/>
              <w:right w:w="0" w:type="dxa"/>
            </w:tcMar>
            <w:vAlign w:val="center"/>
          </w:tcPr>
          <w:p>
            <w:pPr>
              <w:pStyle w:val="TableContents"/>
              <w:bidi w:val="0"/>
              <w:spacing w:lineRule="atLeast" w:line="220" w:before="18" w:after="283"/>
              <w:jc w:val="left"/>
              <w:rPr>
                <w:rFonts w:ascii="Times New Roman;serif" w:hAnsi="Times New Roman;serif"/>
                <w:b/>
                <w:color w:val="000000"/>
                <w:sz w:val="22"/>
              </w:rPr>
            </w:pPr>
            <w:r>
              <w:rPr>
                <w:rFonts w:ascii="Times New Roman;serif" w:hAnsi="Times New Roman;serif"/>
                <w:b/>
                <w:color w:val="000000"/>
                <w:sz w:val="22"/>
              </w:rPr>
              <w:t>LENDER:</w:t>
            </w:r>
          </w:p>
          <w:p>
            <w:pPr>
              <w:pStyle w:val="TableContents"/>
              <w:bidi w:val="0"/>
              <w:spacing w:lineRule="atLeast" w:line="220" w:before="18" w:after="283"/>
              <w:jc w:val="left"/>
              <w:rPr>
                <w:rFonts w:ascii="Times New Roman;serif" w:hAnsi="Times New Roman;serif"/>
                <w:b w:val="false"/>
                <w:color w:val="231F20"/>
                <w:sz w:val="22"/>
              </w:rPr>
            </w:pPr>
            <w:r>
              <w:rPr>
                <w:rFonts w:ascii="Times New Roman;serif" w:hAnsi="Times New Roman;serif"/>
                <w:b w:val="false"/>
                <w:color w:val="231F20"/>
                <w:sz w:val="22"/>
              </w:rPr>
              <w:t>AAC II HOLDINGS II LP</w:t>
            </w:r>
          </w:p>
          <w:p>
            <w:pPr>
              <w:pStyle w:val="TableContents"/>
              <w:bidi w:val="0"/>
              <w:spacing w:before="120" w:after="283"/>
              <w:jc w:val="left"/>
              <w:rPr/>
            </w:pPr>
            <w:r>
              <w:rPr/>
            </w:r>
          </w:p>
          <w:p>
            <w:pPr>
              <w:pStyle w:val="TableContents"/>
              <w:bidi w:val="0"/>
              <w:spacing w:lineRule="auto" w:line="288" w:before="120" w:after="283"/>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Anton Feingold</w:t>
            </w:r>
          </w:p>
          <w:p>
            <w:pPr>
              <w:pStyle w:val="TableContents"/>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Name: Anton Feingold</w:t>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tc>
        <w:tc>
          <w:tcPr>
            <w:tcW w:w="3569" w:type="dxa"/>
            <w:gridSpan w:val="3"/>
            <w:tcBorders/>
            <w:tcMar>
              <w:top w:w="0" w:type="dxa"/>
              <w:left w:w="0" w:type="dxa"/>
              <w:bottom w:w="0" w:type="dxa"/>
              <w:right w:w="0" w:type="dxa"/>
            </w:tcMar>
            <w:vAlign w:val="center"/>
          </w:tcPr>
          <w:p>
            <w:pPr>
              <w:pStyle w:val="TableContents"/>
              <w:bidi w:val="0"/>
              <w:spacing w:before="120" w:after="283"/>
              <w:jc w:val="both"/>
              <w:rPr/>
            </w:pPr>
            <w:r>
              <w:rPr/>
            </w:r>
          </w:p>
        </w:tc>
      </w:tr>
    </w:tbl>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87"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EXHIBIT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Form of Joinder Agreement</w:t>
      </w:r>
    </w:p>
    <w:p>
      <w:pPr>
        <w:pStyle w:val="TextBody"/>
        <w:bidi w:val="0"/>
        <w:spacing w:before="0" w:after="0"/>
        <w:jc w:val="center"/>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240"/>
        <w:ind w:left="0" w:right="0" w:firstLine="720"/>
        <w:jc w:val="right"/>
        <w:rPr>
          <w:rFonts w:ascii="Times New Roman;serif" w:hAnsi="Times New Roman;serif"/>
          <w:b/>
          <w:color w:val="000000"/>
          <w:sz w:val="22"/>
        </w:rPr>
      </w:pPr>
      <w:r>
        <w:rPr>
          <w:rFonts w:ascii="Times New Roman;serif" w:hAnsi="Times New Roman;serif"/>
          <w:b/>
          <w:color w:val="000000"/>
          <w:sz w:val="22"/>
        </w:rPr>
        <w:t>Exhibit 19.1</w:t>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8"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KODIAK AI, INC.</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INSIDER TRADING POLICY</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(Adopted on September 24, 2025)</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A.    POLICY OVERVIEW</w:t>
      </w:r>
    </w:p>
    <w:p>
      <w:pPr>
        <w:pStyle w:val="TextBody"/>
        <w:bidi w:val="0"/>
        <w:spacing w:lineRule="auto" w:line="288" w:before="0" w:after="240"/>
        <w:ind w:left="0" w:right="0" w:firstLine="720"/>
        <w:jc w:val="both"/>
        <w:rPr/>
      </w:pPr>
      <w:r>
        <w:rPr>
          <w:rFonts w:ascii="Times New Roman;serif" w:hAnsi="Times New Roman;serif"/>
          <w:b w:val="false"/>
          <w:color w:val="000000"/>
          <w:sz w:val="22"/>
        </w:rPr>
        <w:t>Kodiak AI, Inc. (together with any subsidiaries, collectively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has adopted this Insider Trading Policy (the “</w:t>
      </w:r>
      <w:r>
        <w:rPr>
          <w:rFonts w:ascii="Times New Roman;serif" w:hAnsi="Times New Roman;serif"/>
          <w:b/>
          <w:color w:val="000000"/>
          <w:sz w:val="22"/>
        </w:rPr>
        <w:t>Policy</w:t>
      </w:r>
      <w:r>
        <w:rPr>
          <w:color w:val="000000"/>
        </w:rPr>
        <w:t>”</w:t>
      </w:r>
      <w:r>
        <w:rPr>
          <w:rFonts w:ascii="Times New Roman;serif" w:hAnsi="Times New Roman;serif"/>
          <w:b w:val="false"/>
          <w:color w:val="000000"/>
          <w:sz w:val="22"/>
        </w:rPr>
        <w:t>) to help you comply with the federal and state securities laws and regulations that govern trading in securities and to help the Company minimize its own legal and reputational risk.</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It is your responsibility to understand and follow this Policy. Insider trading is illegal and a violation of this Policy. In addition to your own liability for insider trading, the Company, as well as individual directors, officers and other supervisory personnel, could face liability. Even the appearance of insider trading can lead to government investigations or lawsuits that are time-consuming, expensive and can lead to criminal and civil liability, including damages and fines, imprisonment and bars on serving as an officer or director of a public company, not to mention irreparable damage to both your and the Company’s reputation.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purposes of this Policy, the Company’s Chief Legal and Policy Officer serves as the Compliance Officer. The Compliance Officer may designate others, from time to time, to assist with the execution of his or her duties under this Policy.</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B.    POLICY STATEMENT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No Trading on Material Nonpublic Information</w:t>
      </w:r>
      <w:r>
        <w:rPr>
          <w:rFonts w:ascii="Times New Roman;serif" w:hAnsi="Times New Roman;serif"/>
          <w:b w:val="false"/>
          <w:color w:val="000000"/>
          <w:sz w:val="22"/>
        </w:rPr>
        <w:t>. It is illegal for anyone to trade in securities on the basis of material nonpublic information. If you are in possession of material nonpublic information about the Company, you are prohibited from:</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using it to transact in securities of the Company;</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    disclosing it to other directors, officers, employees, consultants, contractors or advisors whose roles do not require them to have the information;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    disclosing it to anyone outside of the Company, including family, friends, business associates, investors or consulting firms, without prior written authorization from the Compliance Officer; or</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    using it to express an opinion or make a recommendation about trading in the Company’s securities.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In addition, if you learn of material nonpublic information through your service with the Company that could be expected to affect the trading price of the securities of another company, you cannot (</w:t>
      </w:r>
      <w:r>
        <w:rPr>
          <w:rFonts w:ascii="Times New Roman;serif" w:hAnsi="Times New Roman;serif"/>
          <w:b w:val="false"/>
          <w:i/>
          <w:color w:val="000000"/>
          <w:sz w:val="22"/>
        </w:rPr>
        <w:t>x</w:t>
      </w:r>
      <w:r>
        <w:rPr>
          <w:rFonts w:ascii="Times New Roman;serif" w:hAnsi="Times New Roman;serif"/>
          <w:b w:val="false"/>
          <w:color w:val="000000"/>
          <w:sz w:val="22"/>
        </w:rPr>
        <w:t>) use that information to trade, directly or indirectly through others, or (</w:t>
      </w:r>
      <w:r>
        <w:rPr>
          <w:rFonts w:ascii="Times New Roman;serif" w:hAnsi="Times New Roman;serif"/>
          <w:b w:val="false"/>
          <w:i/>
          <w:color w:val="000000"/>
          <w:sz w:val="22"/>
        </w:rPr>
        <w:t>y</w:t>
      </w:r>
      <w:r>
        <w:rPr>
          <w:rFonts w:ascii="Times New Roman;serif" w:hAnsi="Times New Roman;serif"/>
          <w:b w:val="false"/>
          <w:color w:val="000000"/>
          <w:sz w:val="22"/>
        </w:rPr>
        <w:t xml:space="preserve">) provide that information to another person in order to trade, in the securities of that other company. Any such action will be deemed a violation of this Policy. </w:t>
      </w:r>
    </w:p>
    <w:p>
      <w:pPr>
        <w:pStyle w:val="TextBody"/>
        <w:bidi w:val="0"/>
        <w:spacing w:lineRule="auto" w:line="288" w:before="0" w:after="240"/>
        <w:ind w:left="0" w:right="0" w:firstLine="720"/>
        <w:jc w:val="both"/>
        <w:rPr/>
      </w:pPr>
      <w:r>
        <w:rPr>
          <w:rFonts w:ascii="Times New Roman;serif" w:hAnsi="Times New Roman;serif"/>
          <w:b w:val="false"/>
          <w:color w:val="000000"/>
          <w:sz w:val="22"/>
        </w:rPr>
        <w:t>2.    </w:t>
      </w:r>
      <w:r>
        <w:rPr>
          <w:rFonts w:ascii="Times New Roman;serif" w:hAnsi="Times New Roman;serif"/>
          <w:b w:val="false"/>
          <w:color w:val="000000"/>
          <w:sz w:val="22"/>
          <w:u w:val="single"/>
        </w:rPr>
        <w:t>No Disclosure of Confidential Information</w:t>
      </w:r>
      <w:r>
        <w:rPr>
          <w:rFonts w:ascii="Times New Roman;serif" w:hAnsi="Times New Roman;serif"/>
          <w:b w:val="false"/>
          <w:color w:val="000000"/>
          <w:sz w:val="22"/>
        </w:rPr>
        <w:t>. You may not at any time disclose material nonpublic information about the Company or about another company that you obtained in connection with your service with the Company to friends, family members or any other person or entity that the Company has not authorized to know such information. In addition, you must handle the confidential information of others in accordance with any related non-disclosure agreements and other obligations that the Company has with them and limit your use of the confidential information to the purpose for which it was disclosed.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you receive an inquiry for information from someone outside of the Company, such as a stock analyst, or a request for sensitive information outside the ordinary course of business from someone outside of the Company, </w:t>
      </w:r>
    </w:p>
    <w:p>
      <w:pPr>
        <w:pStyle w:val="TextBody"/>
        <w:bidi w:val="0"/>
        <w:spacing w:before="0" w:after="240"/>
        <w:ind w:left="0" w:right="0" w:firstLine="720"/>
        <w:jc w:val="righ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9"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ind w:left="0" w:right="0" w:firstLine="72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such as a business partner, vendor, supplier or salesperson, then you should refer the inquiry to the Compliance Officer. Responding to a request yourself may violate this Policy and, in some circumstances, the law. Please consult the Company’s External Communications Policy for more details.</w:t>
      </w:r>
    </w:p>
    <w:p>
      <w:pPr>
        <w:pStyle w:val="TextBody"/>
        <w:bidi w:val="0"/>
        <w:spacing w:lineRule="auto" w:line="288" w:before="0" w:after="240"/>
        <w:ind w:left="0" w:right="0" w:firstLine="720"/>
        <w:jc w:val="both"/>
        <w:rPr/>
      </w:pPr>
      <w:r>
        <w:rPr>
          <w:rFonts w:ascii="Times New Roman;serif" w:hAnsi="Times New Roman;serif"/>
          <w:b w:val="false"/>
          <w:color w:val="000000"/>
          <w:sz w:val="22"/>
        </w:rPr>
        <w:t>3.    </w:t>
      </w:r>
      <w:r>
        <w:rPr>
          <w:rFonts w:ascii="Times New Roman;serif" w:hAnsi="Times New Roman;serif"/>
          <w:b w:val="false"/>
          <w:color w:val="000000"/>
          <w:sz w:val="22"/>
          <w:u w:val="single"/>
        </w:rPr>
        <w:t>Definition of Material Nonpublic Information</w:t>
      </w:r>
      <w:r>
        <w:rPr>
          <w:rFonts w:ascii="Times New Roman;serif" w:hAnsi="Times New Roman;serif"/>
          <w:b w:val="false"/>
          <w:color w:val="000000"/>
          <w:sz w:val="22"/>
        </w:rPr>
        <w:t>. “</w:t>
      </w:r>
      <w:r>
        <w:rPr>
          <w:rFonts w:ascii="Times New Roman;serif" w:hAnsi="Times New Roman;serif"/>
          <w:b/>
          <w:color w:val="000000"/>
          <w:sz w:val="22"/>
        </w:rPr>
        <w:t>Material information</w:t>
      </w:r>
      <w:r>
        <w:rPr>
          <w:color w:val="000000"/>
        </w:rPr>
        <w:t xml:space="preserve">” </w:t>
      </w:r>
      <w:r>
        <w:rPr>
          <w:rFonts w:ascii="Times New Roman;serif" w:hAnsi="Times New Roman;serif"/>
          <w:b w:val="false"/>
          <w:color w:val="000000"/>
          <w:sz w:val="22"/>
        </w:rPr>
        <w:t>means information that a reasonable investor would be substantially likely to consider important in deciding whether to buy, hold or sell securities or would view as significantly altering the total mix of information available in the marketplace about the issuer of the securities. In general, any information that could reasonably be expected to affect the market price of a security is likely to be material. Either positive or negative information may be material.</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It is not possible to define all categories of “material” information. However, some examples of information that could be regarded as material include, but are not limited to:</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financial results, key metrics, financial condition, earnings pre-announcements, guidance, projections or forecasts, particularly if inconsistent with the Company’s guidance or the expectations of the investment community;</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    restatements of financial results, or material impairments, write-offs or restructurings;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    changes in independent auditors, or notification that the Company may no longer rely on an audit report;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    business plans or budgets;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e.    creation of significant financial obligations, or any significant default under or acceleration of any financial obligation;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f.    impending bankruptcy or financial liquidity problems;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g.    significant developments involving business relationships, including execution, modification or termination of significant agreements or orders with customers, suppliers, distributors, manufacturers or other business partners;</w:t>
      </w:r>
    </w:p>
    <w:p>
      <w:pPr>
        <w:pStyle w:val="TextBody"/>
        <w:bidi w:val="0"/>
        <w:spacing w:lineRule="auto" w:line="288" w:before="0" w:after="240"/>
        <w:ind w:left="0" w:right="0" w:hanging="720"/>
        <w:jc w:val="both"/>
        <w:rPr/>
      </w:pPr>
      <w:r>
        <w:rPr>
          <w:rFonts w:ascii="Times New Roman;serif" w:hAnsi="Times New Roman;serif"/>
          <w:b w:val="false"/>
          <w:color w:val="000000"/>
          <w:sz w:val="22"/>
        </w:rPr>
        <w:t>h.    significant information relating to the operation of product or service, such as new products or services, major modifications or performance issues, defects or recalls, significant pricing changes or other announcements of a significant nature;</w:t>
      </w:r>
      <w:r>
        <w:rPr>
          <w:color w:val="000000"/>
        </w:rPr>
        <w:t xml:space="preserve">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    significant developments in research and development or relating to intellectual property;</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j.    significant legal or regulatory developments, whether positive or negative, actual or threatened, including litigation or resolving litigation;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k.    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l.    significant corporate events, such as a pending or proposed merger, joint venture or tender offer, a significant investment, the acquisition or disposition of a significant business or asset or a change in control of the Company;</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m.    major personnel changes, such as changes in senior management or employee layoffs;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n.    data breaches or other cybersecurity events;</w:t>
      </w:r>
    </w:p>
    <w:p>
      <w:pPr>
        <w:pStyle w:val="TextBody"/>
        <w:bidi w:val="0"/>
        <w:spacing w:before="0" w:after="240"/>
        <w:ind w:left="0" w:right="0" w:firstLine="720"/>
        <w:jc w:val="righ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90"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ind w:left="0" w:right="0" w:firstLine="720"/>
                        <w:jc w:val="center"/>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o.    updates regarding any prior material disclosure that has materially changed;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p.    the existence of a special blackout period;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q.    operations of the Company; and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r.    plans of expansion of the Company.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Material nonpublic information</w:t>
      </w:r>
      <w:r>
        <w:rPr>
          <w:color w:val="000000"/>
        </w:rPr>
        <w:t xml:space="preserve">” </w:t>
      </w:r>
      <w:r>
        <w:rPr>
          <w:rFonts w:ascii="Times New Roman;serif" w:hAnsi="Times New Roman;serif"/>
          <w:b w:val="false"/>
          <w:color w:val="000000"/>
          <w:sz w:val="22"/>
        </w:rPr>
        <w:t>means material information that is not generally known or made available to the public. Even if information is widely known throughout the Company, it may still be nonpublic. Generally, in order for information to be considered public, it must be made generally available through media outlets or SEC filings.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After the release of information, a reasonable period of time must elapse in order to provide the public an opportunity to absorb and evaluate the information provided. As a general rule, at least two full trading days must pass after the dissemination of information before such information is considered public.</w:t>
      </w:r>
    </w:p>
    <w:p>
      <w:pPr>
        <w:pStyle w:val="TextBody"/>
        <w:bidi w:val="0"/>
        <w:spacing w:lineRule="auto" w:line="288" w:before="0" w:after="240"/>
        <w:ind w:left="0" w:right="0" w:firstLine="720"/>
        <w:jc w:val="both"/>
        <w:rPr/>
      </w:pPr>
      <w:r>
        <w:rPr>
          <w:rFonts w:ascii="Times New Roman;serif" w:hAnsi="Times New Roman;serif"/>
          <w:b w:val="false"/>
          <w:color w:val="000000"/>
          <w:sz w:val="22"/>
        </w:rPr>
        <w:t>As a rule of thumb, if you think something might be material nonpublic information, it probably is. You can always reach out to the Compliance Officer</w:t>
      </w:r>
      <w:r>
        <w:rPr>
          <w:color w:val="000000"/>
        </w:rPr>
        <w:t xml:space="preserve"> </w:t>
      </w:r>
      <w:r>
        <w:rPr>
          <w:rFonts w:ascii="Times New Roman;serif" w:hAnsi="Times New Roman;serif"/>
          <w:b w:val="false"/>
          <w:color w:val="000000"/>
          <w:sz w:val="22"/>
        </w:rPr>
        <w:t>if you have questions.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C.    PERSONS COVERED BY THIS POLICY</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This Policy applies to you if you are a director, officer, employee, consultant, contractor or advisor of the Company, both inside and outside of the United States. To the extent applicable to you, this Policy also covers your immediate family members, persons with whom you share a household, persons who are your economic dependents and any entity whose transactions in securities you influence, direct or control; </w:t>
      </w:r>
      <w:r>
        <w:rPr>
          <w:rFonts w:ascii="Times New Roman;serif" w:hAnsi="Times New Roman;serif"/>
          <w:b w:val="false"/>
          <w:i/>
          <w:color w:val="000000"/>
          <w:sz w:val="22"/>
        </w:rPr>
        <w:t>provided, however</w:t>
      </w:r>
      <w:r>
        <w:rPr>
          <w:rFonts w:ascii="Times New Roman;serif" w:hAnsi="Times New Roman;serif"/>
          <w:b w:val="false"/>
          <w:color w:val="000000"/>
          <w:sz w:val="22"/>
        </w:rPr>
        <w:t>, that the Policy shall not apply to any such entity that engages in the investment of securities in the ordinary course of its business (</w:t>
      </w:r>
      <w:r>
        <w:rPr>
          <w:rFonts w:ascii="Times New Roman;serif" w:hAnsi="Times New Roman;serif"/>
          <w:b w:val="false"/>
          <w:i/>
          <w:color w:val="000000"/>
          <w:sz w:val="22"/>
        </w:rPr>
        <w:t>e.g.</w:t>
      </w:r>
      <w:r>
        <w:rPr>
          <w:rFonts w:ascii="Times New Roman;serif" w:hAnsi="Times New Roman;serif"/>
          <w:b w:val="false"/>
          <w:color w:val="000000"/>
          <w:sz w:val="22"/>
        </w:rPr>
        <w:t xml:space="preserve">, an investment fund or partnership) if such entity has established its own insider trading controls and procedures in compliance with applicable securities laws.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Policy continues to apply even if you leave the Company or are otherwise no longer affiliated with or providing services to the Company, for as long as you remain in possession of material nonpublic information. In addition, if you are subject to a trading blackout under this Policy at the time you leave the Company, you must abide by the applicable trading restrictions until at least the end of the relevant blackout period.</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D.    TRADING COVERED BY THIS POLICY</w:t>
      </w:r>
    </w:p>
    <w:p>
      <w:pPr>
        <w:pStyle w:val="TextBody"/>
        <w:bidi w:val="0"/>
        <w:spacing w:lineRule="auto" w:line="288" w:before="0" w:after="240"/>
        <w:ind w:left="0" w:right="0" w:firstLine="720"/>
        <w:jc w:val="both"/>
        <w:rPr/>
      </w:pPr>
      <w:r>
        <w:rPr>
          <w:rFonts w:ascii="Times New Roman;serif" w:hAnsi="Times New Roman;serif"/>
          <w:b w:val="false"/>
          <w:color w:val="000000"/>
          <w:sz w:val="22"/>
        </w:rPr>
        <w:t>Except as discussed in Section H (</w:t>
      </w:r>
      <w:r>
        <w:rPr>
          <w:rFonts w:ascii="Times New Roman;serif" w:hAnsi="Times New Roman;serif"/>
          <w:b w:val="false"/>
          <w:i/>
          <w:color w:val="000000"/>
          <w:sz w:val="22"/>
        </w:rPr>
        <w:t>Exceptions to Trading Restrictions</w:t>
      </w:r>
      <w:r>
        <w:rPr>
          <w:rFonts w:ascii="Times New Roman;serif" w:hAnsi="Times New Roman;serif"/>
          <w:b w:val="false"/>
          <w:color w:val="000000"/>
          <w:sz w:val="22"/>
        </w:rPr>
        <w:t>), this Policy applies to all transactions involving the Company’s securities or other companies’ securities for which you possess material nonpublic information obtained in connection with your service with the Company. This Policy therefore applies to:</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    any purchase, sale, loan or other transfer or disposition of any equity securities (including common stock, options, restricted stock units, warrants and preferred stock) and debt securities (including debentures, bonds and notes) of the Company and such other companies, whether direct or indirect (including transactions made on your behalf by money managers), and any offer to engage in the foregoing transactions;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    any disposition in the form of a gift of any securities of the Company;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    any distribution to holders of interests in an entity if the entity is subject to this Policy;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4.    any other arrangement that generates gains or losses from or based on changes in the prices of such securities including derivative securities (for example, exchange-traded put or call options, swaps, caps and collars), </w:t>
      </w:r>
    </w:p>
    <w:p>
      <w:pPr>
        <w:pStyle w:val="TextBody"/>
        <w:bidi w:val="0"/>
        <w:spacing w:before="0" w:after="240"/>
        <w:ind w:left="0" w:right="0" w:firstLine="720"/>
        <w:jc w:val="righ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91"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ind w:left="0" w:right="0" w:firstLine="72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hedging and pledging transactions, short sales and certain arrangements regarding participation in benefit plans, and any offer to engage in the foregoing transactions.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There are no exceptions from insider trading laws or this Policy based on the size of the transaction or the type of consideration received.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E.    TRADING RESTRICTIONS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Subject to the exceptions set forth below, this Policy restricts trading during certain periods and by certain people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Quarterly Blackout Periods</w:t>
      </w:r>
      <w:r>
        <w:rPr>
          <w:rFonts w:ascii="Times New Roman;serif" w:hAnsi="Times New Roman;serif"/>
          <w:b w:val="false"/>
          <w:color w:val="000000"/>
          <w:sz w:val="22"/>
        </w:rPr>
        <w:t>. Except as discussed in Section H (</w:t>
      </w:r>
      <w:r>
        <w:rPr>
          <w:rFonts w:ascii="Times New Roman;serif" w:hAnsi="Times New Roman;serif"/>
          <w:b w:val="false"/>
          <w:i/>
          <w:color w:val="000000"/>
          <w:sz w:val="22"/>
        </w:rPr>
        <w:t>Exceptions to Trading Restrictions</w:t>
      </w:r>
      <w:r>
        <w:rPr>
          <w:rFonts w:ascii="Times New Roman;serif" w:hAnsi="Times New Roman;serif"/>
          <w:b w:val="false"/>
          <w:color w:val="000000"/>
          <w:sz w:val="22"/>
        </w:rPr>
        <w:t>), all directors, officers and employees of the Company, and those consultants, contractors and advisors identified by the Company, must refrain from conducting transactions involving the Company’s securities during quarterly blackout periods. To the extent applicable to you, quarterly blackout periods also cover your immediate family members, persons with whom you share a household, persons who are your economic dependents and any entity whose transactions in securities you influence, direct or control. Even if you are not specifically identified as being subject to quarterly blackout periods, you should exercise caution when engaging in transactions during quarterly blackout periods because of the heightened risk of insider trading exposure.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Quarterly blackout periods will start at the end of the fifteenth day of the third month of each fiscal quarter and will end at the start of the third full trading day following the Company’s earnings release.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prohibition against trading during the blackout period also means that brokers cannot fulfill open orders on your behalf or on behalf of your immediate family members, persons with whom you share a household, persons who are your economic dependents or any entity whose transactions in securities you influence, direct or control, during the blackout period, including “limit orders” to buy or sell stock at a specific price or better and “stop orders” to buy or sell stock once the price of the stock reaches a specified price. If you are subject to blackout periods or pre-clearance requirements, you should so inform any broker with whom such an open order is placed at the time it is placed.</w:t>
      </w:r>
    </w:p>
    <w:p>
      <w:pPr>
        <w:pStyle w:val="TextBody"/>
        <w:bidi w:val="0"/>
        <w:spacing w:lineRule="auto" w:line="288" w:before="0" w:after="240"/>
        <w:ind w:left="0" w:right="0" w:firstLine="720"/>
        <w:jc w:val="both"/>
        <w:rPr/>
      </w:pPr>
      <w:r>
        <w:rPr>
          <w:rFonts w:ascii="Times New Roman;serif" w:hAnsi="Times New Roman;serif"/>
          <w:b w:val="false"/>
          <w:color w:val="000000"/>
          <w:sz w:val="22"/>
        </w:rPr>
        <w:t>From time to time, the Company may identify other persons who should be subject to quarterly blackout periods, and such persons will be informed by the Compliance Officer that they are listed on the covered persons list maintained by the Compliance Officer (the “</w:t>
      </w:r>
      <w:r>
        <w:rPr>
          <w:rFonts w:ascii="Times New Roman;serif" w:hAnsi="Times New Roman;serif"/>
          <w:b/>
          <w:color w:val="000000"/>
          <w:sz w:val="22"/>
        </w:rPr>
        <w:t>Covered Persons List</w:t>
      </w:r>
      <w:r>
        <w:rPr>
          <w:color w:val="000000"/>
        </w:rPr>
        <w:t>”</w:t>
      </w:r>
      <w:r>
        <w:rPr>
          <w:rFonts w:ascii="Times New Roman;serif" w:hAnsi="Times New Roman;serif"/>
          <w:b w:val="false"/>
          <w:color w:val="000000"/>
          <w:sz w:val="22"/>
        </w:rPr>
        <w:t>) as appropriate. The Compliance Officer may update and revise the Covered Persons List as appropriate.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2.    </w:t>
      </w:r>
      <w:r>
        <w:rPr>
          <w:rFonts w:ascii="Times New Roman;serif" w:hAnsi="Times New Roman;serif"/>
          <w:b w:val="false"/>
          <w:color w:val="000000"/>
          <w:sz w:val="22"/>
          <w:u w:val="single"/>
        </w:rPr>
        <w:t>Special Blackout Periods</w:t>
      </w:r>
      <w:r>
        <w:rPr>
          <w:rFonts w:ascii="Times New Roman;serif" w:hAnsi="Times New Roman;serif"/>
          <w:b w:val="false"/>
          <w:color w:val="000000"/>
          <w:sz w:val="22"/>
        </w:rPr>
        <w:t>. The Company always retains the right to impose additional or longer trading blackout periods at any time on any or all of its directors, officers, employees, consultants, contractors and advisors. The Compliance Officer</w:t>
      </w:r>
      <w:r>
        <w:rPr>
          <w:color w:val="000000"/>
        </w:rPr>
        <w:t xml:space="preserve"> </w:t>
      </w:r>
      <w:r>
        <w:rPr>
          <w:rFonts w:ascii="Times New Roman;serif" w:hAnsi="Times New Roman;serif"/>
          <w:b w:val="false"/>
          <w:color w:val="000000"/>
          <w:sz w:val="22"/>
        </w:rPr>
        <w:t xml:space="preserve">will notify you if you are subject to a special blackout period by providing to you a notice in writing or via email. If you are notified that you are subject to a special blackout period, you may not engage in any transaction involving the Company’s securities until the special blackout period has ended other than the transactions that are covered by the exceptions below. You also may not disclose to anyone else that the Company has imposed a special blackout period. To the extent applicable to you, special blackout periods also cover your immediate family members, persons with whom you share a household, persons who are your economic dependents and any entity whose transactions in securities you influence, direct or control. </w:t>
      </w:r>
    </w:p>
    <w:p>
      <w:pPr>
        <w:pStyle w:val="TextBody"/>
        <w:bidi w:val="0"/>
        <w:spacing w:lineRule="auto" w:line="288" w:before="0" w:after="240"/>
        <w:ind w:left="0" w:right="0" w:firstLine="720"/>
        <w:jc w:val="both"/>
        <w:rPr/>
      </w:pPr>
      <w:r>
        <w:rPr>
          <w:rFonts w:ascii="Times New Roman;serif" w:hAnsi="Times New Roman;serif"/>
          <w:b w:val="false"/>
          <w:color w:val="000000"/>
          <w:sz w:val="22"/>
        </w:rPr>
        <w:t>3.    </w:t>
      </w:r>
      <w:r>
        <w:rPr>
          <w:rFonts w:ascii="Times New Roman;serif" w:hAnsi="Times New Roman;serif"/>
          <w:b w:val="false"/>
          <w:color w:val="000000"/>
          <w:sz w:val="22"/>
          <w:u w:val="single"/>
        </w:rPr>
        <w:t>Regulation BTR Blackouts</w:t>
      </w:r>
      <w:r>
        <w:rPr>
          <w:rFonts w:ascii="Times New Roman;serif" w:hAnsi="Times New Roman;serif"/>
          <w:b w:val="false"/>
          <w:color w:val="000000"/>
          <w:sz w:val="22"/>
        </w:rPr>
        <w:t xml:space="preserve">. Directors and officers may also be subject to trading blackouts pursuant to Regulation Blackout Trading Restriction, or Regulation BTR, under U.S. federal securities laws. In general, Regulation BTR prohibits any director or officer from engaging in certain transactions involving the Company’s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the Company, regardless of the intentions of the director or officer effecting the transaction. In addition, individuals who engage in such transactions are subject to sanction by the SEC as well as potential criminal liability. The Company will endeavor to notify directors and </w:t>
      </w:r>
    </w:p>
    <w:p>
      <w:pPr>
        <w:pStyle w:val="TextBody"/>
        <w:bidi w:val="0"/>
        <w:spacing w:before="0" w:after="240"/>
        <w:ind w:left="0" w:right="0" w:firstLine="720"/>
        <w:jc w:val="righ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92"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ind w:left="0" w:right="0" w:firstLine="72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officers if they are subject to a blackout trading restriction under Regulation BTR. Failure to comply with an applicable trading blackout in accordance with Regulation BTR is a violation of law and this Policy.</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F.    PROHIBITED TRANSACTIONS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You may not engage in any of the following types of transactions other than as noted below, regardless of whether you have material nonpublic information or not.</w:t>
      </w:r>
    </w:p>
    <w:p>
      <w:pPr>
        <w:pStyle w:val="TextBody"/>
        <w:bidi w:val="0"/>
        <w:spacing w:lineRule="auto" w:line="288" w:before="0" w:after="240"/>
        <w:ind w:left="0" w:right="0" w:firstLine="72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Short Sales</w:t>
      </w:r>
      <w:r>
        <w:rPr>
          <w:rFonts w:ascii="Times New Roman;serif" w:hAnsi="Times New Roman;serif"/>
          <w:b w:val="false"/>
          <w:color w:val="000000"/>
          <w:sz w:val="22"/>
        </w:rPr>
        <w:t>. You may not engage in short sales (meaning the sale of a security that must be borrowed to make delivery) or “sell short against the box” (meaning the sale of a security with a delayed delivery) if such sales involve the Company’s securities.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2.    </w:t>
      </w:r>
      <w:r>
        <w:rPr>
          <w:rFonts w:ascii="Times New Roman;serif" w:hAnsi="Times New Roman;serif"/>
          <w:b w:val="false"/>
          <w:color w:val="000000"/>
          <w:sz w:val="22"/>
          <w:u w:val="single"/>
        </w:rPr>
        <w:t>Derivative Securities and Hedging Transactions</w:t>
      </w:r>
      <w:r>
        <w:rPr>
          <w:rFonts w:ascii="Times New Roman;serif" w:hAnsi="Times New Roman;serif"/>
          <w:b w:val="false"/>
          <w:color w:val="000000"/>
          <w:sz w:val="22"/>
        </w:rPr>
        <w:t>. You may not, directly or indirectly, (a) trade in publicly-traded options, such as puts and calls, and other derivative securities with respect to the Company’s securities (other than stock options, restricted stock units and other compensatory awards issued to you by the Company) or (b) purchase financial instruments (including prepaid variable forward contracts, equity swaps, collars and exchange funds), or otherwise engage in transactions, that hedge or offset, or are designed to hedge or offset, any decrease in the market value of Company equity securities either (i) granted to you by the Company as part of your compensation or (ii) held, directly or indirectly, by you.</w:t>
      </w:r>
    </w:p>
    <w:p>
      <w:pPr>
        <w:pStyle w:val="TextBody"/>
        <w:bidi w:val="0"/>
        <w:spacing w:lineRule="auto" w:line="288" w:before="0" w:after="240"/>
        <w:ind w:left="0" w:right="0" w:firstLine="720"/>
        <w:jc w:val="both"/>
        <w:rPr/>
      </w:pPr>
      <w:r>
        <w:rPr>
          <w:rFonts w:ascii="Times New Roman;serif" w:hAnsi="Times New Roman;serif"/>
          <w:b w:val="false"/>
          <w:color w:val="000000"/>
          <w:sz w:val="22"/>
        </w:rPr>
        <w:t>3.    </w:t>
      </w:r>
      <w:r>
        <w:rPr>
          <w:rFonts w:ascii="Times New Roman;serif" w:hAnsi="Times New Roman;serif"/>
          <w:b w:val="false"/>
          <w:color w:val="000000"/>
          <w:sz w:val="22"/>
          <w:u w:val="single"/>
        </w:rPr>
        <w:t>Pledging Transactions</w:t>
      </w:r>
      <w:r>
        <w:rPr>
          <w:rFonts w:ascii="Times New Roman;serif" w:hAnsi="Times New Roman;serif"/>
          <w:b w:val="false"/>
          <w:color w:val="000000"/>
          <w:sz w:val="22"/>
        </w:rPr>
        <w:t>. You may not pledge the Company’s securities as collateral for any loan or as part of any other pledging transaction.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4.    </w:t>
      </w:r>
      <w:r>
        <w:rPr>
          <w:rFonts w:ascii="Times New Roman;serif" w:hAnsi="Times New Roman;serif"/>
          <w:b w:val="false"/>
          <w:color w:val="000000"/>
          <w:sz w:val="22"/>
          <w:u w:val="single"/>
        </w:rPr>
        <w:t>Margin Accounts</w:t>
      </w:r>
      <w:r>
        <w:rPr>
          <w:rFonts w:ascii="Times New Roman;serif" w:hAnsi="Times New Roman;serif"/>
          <w:b w:val="false"/>
          <w:color w:val="000000"/>
          <w:sz w:val="22"/>
        </w:rPr>
        <w:t>. You may not hold the Company’s common stock in margin accounts.</w:t>
      </w:r>
      <w:r>
        <w:rPr>
          <w:color w:val="000000"/>
        </w:rPr>
        <w:t xml:space="preserve">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G.    PRE-CLEARANCE OF TRADES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Company’s directors and officers and any other persons identified on the Covered Persons List of this Policy as being subject to pre-clearance requirements must obtain pre-clearance prior to trading the Company’s securities. If you are subject to pre-clearance requirements, you should submit a pre-clearance request to the Compliance Officer prior to your desired trade date. The pre-clearance request must be made on the form provided by the Compliance Officer. The person requesting pre-clearance will be asked to certify that he or she is not in possession of material nonpublic information about the Company. The Compliance Officer is under no obligation to approve a transaction submitted for pre-clearance and may determine not to permit the transaction. A Compliance Officer’s approval of a transaction submitted for pre-clearance does not constitute legal advice, does not constitute confirmation that the requester does not possess material nonpublic information and does not relieve the requester of any of its legal obligations.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the Compliance Officer is the requester, then the Company’s Chief Executive Officer, Chief Financial Officer, or their delegate, must pre-clear or deny any trade. All trades must be executed within two business days of any pre-clearance.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Even after preclearance, a person may not trade the Company’s securities if they become subject to a blackout period or aware of material nonpublic information prior to the trade being executed.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From time to time, the Company may identify other persons who should be subject to the pre-clearance requirements set forth above, and the Compliance Officer may update and revise the Covered Persons List as appropriate.</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H.    EXCEPTIONS TO TRADING RESTRICTIONS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There are no unconditional “safe harbors” for trades made at particular times, and all persons subject to this Policy should exercise good judgment at all times. Even when a quarterly blackout period is not in effect, you may </w:t>
      </w:r>
    </w:p>
    <w:p>
      <w:pPr>
        <w:pStyle w:val="TextBody"/>
        <w:bidi w:val="0"/>
        <w:spacing w:before="0" w:after="240"/>
        <w:ind w:left="0" w:right="0" w:firstLine="720"/>
        <w:jc w:val="righ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93"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ind w:left="0" w:right="0" w:firstLine="72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be prohibited from engaging in transactions involving the Company’s securities because you possess material nonpublic information, are subject to a special blackout period or are otherwise restricted under this Policy.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Other than the limited exceptions set forth below, any other exceptions to this Policy must be approved by the Compliance Officer, in consultation with the Company’s board of directors or an independent committee of the board of directors.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are certain limited exceptions to the quarterly and special blackout period restrictions and pre-clearance requirements imposed by the Company under this Policy: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    stock option exercises where the purchase price of such stock options is paid in cash and there is no other associated market activity;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2.    purchases pursuant to the employee stock purchase plan; however, this exception does not apply to subsequent sales of the shares;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3.    receipt and vesting of stock options, restricted stock units, restricted stock or other equity compensation awards from the Company; </w:t>
      </w:r>
    </w:p>
    <w:p>
      <w:pPr>
        <w:pStyle w:val="TextBody"/>
        <w:bidi w:val="0"/>
        <w:spacing w:lineRule="auto" w:line="288" w:before="0" w:after="240"/>
        <w:ind w:left="0" w:right="0" w:firstLine="720"/>
        <w:jc w:val="both"/>
        <w:rPr/>
      </w:pPr>
      <w:r>
        <w:rPr>
          <w:rFonts w:ascii="Times New Roman;serif" w:hAnsi="Times New Roman;serif"/>
          <w:b w:val="false"/>
          <w:color w:val="000000"/>
          <w:sz w:val="22"/>
        </w:rPr>
        <w:t>4.    net share withholding with respect to equity awards where shares are withheld by the Company in order to satisfy tax withholding requirements, (</w:t>
      </w:r>
      <w:r>
        <w:rPr>
          <w:rFonts w:ascii="Times New Roman;serif" w:hAnsi="Times New Roman;serif"/>
          <w:b w:val="false"/>
          <w:i/>
          <w:color w:val="000000"/>
          <w:sz w:val="22"/>
        </w:rPr>
        <w:t>x</w:t>
      </w:r>
      <w:r>
        <w:rPr>
          <w:rFonts w:ascii="Times New Roman;serif" w:hAnsi="Times New Roman;serif"/>
          <w:b w:val="false"/>
          <w:color w:val="000000"/>
          <w:sz w:val="22"/>
        </w:rPr>
        <w:t>) as required by either the Company’s board of directors (or a committee thereof) or the award agreement governing such equity award or (</w:t>
      </w:r>
      <w:r>
        <w:rPr>
          <w:rFonts w:ascii="Times New Roman;serif" w:hAnsi="Times New Roman;serif"/>
          <w:b w:val="false"/>
          <w:i/>
          <w:color w:val="000000"/>
          <w:sz w:val="22"/>
        </w:rPr>
        <w:t>y</w:t>
      </w:r>
      <w:r>
        <w:rPr>
          <w:rFonts w:ascii="Times New Roman;serif" w:hAnsi="Times New Roman;serif"/>
          <w:b w:val="false"/>
          <w:color w:val="000000"/>
          <w:sz w:val="22"/>
        </w:rPr>
        <w:t xml:space="preserve">) as you elect, if permitted by the Company, so long as the election is irrevocable and made in writing at a time when a trading blackout is not in place and you are not in possession of material nonpublic information; </w:t>
      </w:r>
    </w:p>
    <w:p>
      <w:pPr>
        <w:pStyle w:val="TextBody"/>
        <w:bidi w:val="0"/>
        <w:spacing w:lineRule="auto" w:line="288" w:before="0" w:after="240"/>
        <w:ind w:left="0" w:right="0" w:firstLine="720"/>
        <w:jc w:val="both"/>
        <w:rPr/>
      </w:pPr>
      <w:r>
        <w:rPr>
          <w:rFonts w:ascii="Times New Roman;serif" w:hAnsi="Times New Roman;serif"/>
          <w:b w:val="false"/>
          <w:color w:val="000000"/>
          <w:sz w:val="22"/>
        </w:rPr>
        <w:t>5.    sell to cover transactions where shares are sold on your behalf upon vesting of equity awards and sold in order to satisfy tax withholding requirements, (</w:t>
      </w:r>
      <w:r>
        <w:rPr>
          <w:rFonts w:ascii="Times New Roman;serif" w:hAnsi="Times New Roman;serif"/>
          <w:b w:val="false"/>
          <w:i/>
          <w:color w:val="000000"/>
          <w:sz w:val="22"/>
        </w:rPr>
        <w:t>x</w:t>
      </w:r>
      <w:r>
        <w:rPr>
          <w:rFonts w:ascii="Times New Roman;serif" w:hAnsi="Times New Roman;serif"/>
          <w:b w:val="false"/>
          <w:color w:val="000000"/>
          <w:sz w:val="22"/>
        </w:rPr>
        <w:t>) as required by either the Company’s board of directors (or a committee thereof) or the award agreement governing such equity award or (</w:t>
      </w:r>
      <w:r>
        <w:rPr>
          <w:rFonts w:ascii="Times New Roman;serif" w:hAnsi="Times New Roman;serif"/>
          <w:b w:val="false"/>
          <w:i/>
          <w:color w:val="000000"/>
          <w:sz w:val="22"/>
        </w:rPr>
        <w:t>y</w:t>
      </w:r>
      <w:r>
        <w:rPr>
          <w:rFonts w:ascii="Times New Roman;serif" w:hAnsi="Times New Roman;serif"/>
          <w:b w:val="false"/>
          <w:color w:val="000000"/>
          <w:sz w:val="22"/>
        </w:rPr>
        <w:t xml:space="preserve">) as you elect, if permitted by the Company, so long as the election is irrevocable and made in writing at a time when a trading blackout is not in place and you are not in possession of material nonpublic information; however, this exception does not apply to any other market sale for the purposes of paying required withholding; </w:t>
      </w:r>
    </w:p>
    <w:p>
      <w:pPr>
        <w:pStyle w:val="TextBody"/>
        <w:bidi w:val="0"/>
        <w:spacing w:lineRule="auto" w:line="288" w:before="0" w:after="240"/>
        <w:ind w:left="0" w:right="0" w:firstLine="720"/>
        <w:jc w:val="both"/>
        <w:rPr/>
      </w:pPr>
      <w:r>
        <w:rPr>
          <w:rFonts w:ascii="Times New Roman;serif" w:hAnsi="Times New Roman;serif"/>
          <w:b w:val="false"/>
          <w:color w:val="000000"/>
          <w:sz w:val="22"/>
        </w:rPr>
        <w:t>6.    transactions made pursuant to a valid 10b5-1 trading plan approved by the Company (see Section I (</w:t>
      </w:r>
      <w:r>
        <w:rPr>
          <w:rFonts w:ascii="Times New Roman;serif" w:hAnsi="Times New Roman;serif"/>
          <w:b w:val="false"/>
          <w:i/>
          <w:color w:val="000000"/>
          <w:sz w:val="22"/>
        </w:rPr>
        <w:t>10b5-1 Trading Plans</w:t>
      </w:r>
      <w:r>
        <w:rPr>
          <w:rFonts w:ascii="Times New Roman;serif" w:hAnsi="Times New Roman;serif"/>
          <w:b w:val="false"/>
          <w:color w:val="000000"/>
          <w:sz w:val="22"/>
        </w:rPr>
        <w:t xml:space="preserve">) below);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7.    purchases of the Company’s stock in the 401(k) plan resulting from periodic contributions to the plan based on your payroll contribution election; provided, however, that the blackout period restrictions and pre-clearance requirements do apply to elections you make under the 401(k) plan to (a) increase or decrease the amount of your contributions under the 401(k) plan if such increase or decrease will increase or decrease the amount of your contributions that will be allocated to a Company stock fund, (b) increase or decrease the percentage of your contributions that will be allocated to a Company stock fund, (c) move balances into or out of a Company stock fund, (d) borrow money against your 401(k) plan account if the loan will result in liquidation of some or all of your Company stock fund balance and (e) prepay a plan loan if the pre-payment will result in the allocation of loan proceeds to a Company stock fund;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8.    transfers by will or the laws of descent or distribution and, provided that prior written notice is provided to the Compliance Officer, distributions or transfers (such as certain tax planning or estate planning </w:t>
      </w:r>
    </w:p>
    <w:p>
      <w:pPr>
        <w:pStyle w:val="TextBody"/>
        <w:bidi w:val="0"/>
        <w:spacing w:before="0" w:after="240"/>
        <w:ind w:left="0" w:right="0" w:firstLine="720"/>
        <w:jc w:val="righ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94"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ind w:left="0" w:right="0" w:firstLine="72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transfers) that effect only a change in the form of beneficial interest without changing your pecuniary interest in the Company’s securities;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9.    changes in the number of the Company’s securities you hold due to a stock split or a stock dividend that applies equally to all securities of a class, or similar transactions.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there is a Regulation BTR blackout (and no quarterly or special blackout period), then the limited exceptions set forth in Regulation BTR will apply. Please be aware that even if a transaction is subject to an exception to this Policy, you will need to separately assess whether the transaction complies with applicable law.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I.    10B5-1 TRADING PLANS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The Company permits its directors, officers and employees to adopt written 10b5-1 trading plans in order to mitigate the risk of trading on material nonpublic information. These plans allow for individuals to enter into a prearranged trading plan as long as the plan is not established or modified during a blackout period or when the individual is otherwise in possession of material nonpublic information. To be approved by the Company and qualify for the exception to this Policy, any 10b5-1 trading plan adopted by a director, officer or employee must be submitted to the Compliance Officer for approval and comply with the requirements set forth in the Requirements for Trading Plans attached as </w:t>
      </w:r>
      <w:r>
        <w:rPr>
          <w:rFonts w:ascii="Times New Roman;serif" w:hAnsi="Times New Roman;serif"/>
          <w:b w:val="false"/>
          <w:color w:val="000000"/>
          <w:sz w:val="22"/>
          <w:u w:val="single"/>
        </w:rPr>
        <w:t>Exhibit A</w:t>
      </w:r>
      <w:r>
        <w:rPr>
          <w:rFonts w:ascii="Times New Roman;serif" w:hAnsi="Times New Roman;serif"/>
          <w:b w:val="false"/>
          <w:color w:val="000000"/>
          <w:sz w:val="22"/>
        </w:rPr>
        <w:t>. If the Compliance Officer is the requester, then the Company’s Chief Executive Officer, Chief Financial Officer, or their delegate, must approve the written 10b5-1 trading plan.</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J.    SECTION 16 COMPLIANCE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of the Company’s officers and directors and certain other individuals are required to comply with Section 16 of the Securities and Exchange Act of 1934 and related rules and regulations which set forth reporting obligations, limitations on “short swing” transactions, which are certain matching purchases and sales of the Company’s securities within a six-month period, and limitations on short sales.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To ensure transactions subject to Section 16 requirements are reported on time, each person subject to these requirements must provide the Company with detailed information (for example, trade date, number of shares, exact price, </w:t>
      </w:r>
      <w:r>
        <w:rPr>
          <w:rFonts w:ascii="Times New Roman;serif" w:hAnsi="Times New Roman;serif"/>
          <w:b w:val="false"/>
          <w:i/>
          <w:color w:val="000000"/>
          <w:sz w:val="22"/>
        </w:rPr>
        <w:t>etc.</w:t>
      </w:r>
      <w:r>
        <w:rPr>
          <w:rFonts w:ascii="Times New Roman;serif" w:hAnsi="Times New Roman;serif"/>
          <w:b w:val="false"/>
          <w:color w:val="000000"/>
          <w:sz w:val="22"/>
        </w:rPr>
        <w:t>) about his or her transactions involving the Company’s securities.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is available to assist in filing Section 16 reports, but the obligation to comply with Section 16 is personal. If you have any questions, you should check with the Compliance Officer.</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K.    VIOLATIONS OF THIS POLICY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Company directors, officers, employees, consultants, contractors and advisors who violate this Policy will be subject to disciplinary action by the Company, including ineligibility for future Company equity or incentive programs or termination of employment or an ongoing relationship with the Company. The Company has full discretion to determine whether this Policy has been violated based on the information available.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also serious legal consequences for individuals who violate insider trading laws, including large criminal and civil fines, significant imprisonment terms and disgorgement of any profits gained or losses avoided. You may also be liable for improper securities trading by any person (commonly referred to as a “tippee”) to whom you have disclosed material nonpublic information that you have learned through your position at the Company or made recommendations or expressed opinions about securities trading on the basis of such information.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Please consult with your personal legal and financial advisors as needed. Note that the Company’s legal counsel, both internal and external, represent the Company and not you personally. There may be instances where you suffer financial harm or other hardship or are otherwise required to forego a planned transaction because of the restrictions imposed by this Policy or under securities laws. If you were aware of the material nonpublic information at the time of the trade, it is not a defense that you did not “use” the information for the trade. Personal financial emergency or other personal circumstances are not mitigating factors under securities laws and will not </w:t>
      </w:r>
    </w:p>
    <w:p>
      <w:pPr>
        <w:pStyle w:val="TextBody"/>
        <w:bidi w:val="0"/>
        <w:spacing w:before="0" w:after="240"/>
        <w:ind w:left="0" w:right="0" w:firstLine="720"/>
        <w:jc w:val="righ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95"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ind w:left="0" w:right="0" w:firstLine="72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excuse your failure to comply with this Policy. In addition, a blackout or trading-restricted period will not extend the term of your options. As a consequence, you may be prevented from exercising your options by this Policy or as a result of a blackout or other restriction on your trading, and as a result your options may expire by their term. In such instances, the Company cannot extend the term of your options and has no obligation or liability to replace the economic value or lost benefit to you. It is your responsibility to manage your economic interests and to consider potential trading restrictions when determining whether to exercise your options.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L.    PROTECTED ACTIVITY NOT PROHIBITED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Nothing in this Policy, or any related guidelines or other documents or information provided in connection with this Policy, shall in any way limit or prohibit you from engaging in any of the protected activities set forth in the Company’s Whistleblower Policy, as amended from time to time.</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M.    REPORTING</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you believe someone is violating this Policy or otherwise using material nonpublic information that they learned through their position at the Company to trade securities, you should report it to the Compliance Officer, or if the Compliance Officer is implicated in your report, then you should report it in accordance with the Company’s Whistleblower Policy.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N.    AMENDMENTS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reserves the right to amend this Policy at any time, for any reason, subject to applicable laws, rules and regulations, and with or without notice, although it will attempt to provide notice in advance of any change. Unless otherwise permitted by this Policy, any amendments must be approved by the Board of Directors of the Company. </w:t>
      </w:r>
    </w:p>
    <w:p>
      <w:pPr>
        <w:pStyle w:val="TextBody"/>
        <w:bidi w:val="0"/>
        <w:spacing w:before="0" w:after="240"/>
        <w:jc w:val="center"/>
        <w:rPr/>
      </w:pPr>
      <w:r>
        <w:rPr/>
      </w:r>
    </w:p>
    <w:p>
      <w:pPr>
        <w:pStyle w:val="TextBody"/>
        <w:bidi w:val="0"/>
        <w:spacing w:before="0" w:after="240"/>
        <w:ind w:left="0" w:right="0" w:firstLine="720"/>
        <w:jc w:val="righ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96"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ind w:left="0" w:right="0" w:firstLine="72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REQUIREMENTS FOR TRADING PLANS</w:t>
      </w:r>
    </w:p>
    <w:p>
      <w:pPr>
        <w:pStyle w:val="TextBody"/>
        <w:bidi w:val="0"/>
        <w:spacing w:lineRule="auto" w:line="288" w:before="240" w:after="283"/>
        <w:ind w:left="0" w:right="0" w:firstLine="720"/>
        <w:jc w:val="both"/>
        <w:rPr/>
      </w:pPr>
      <w:r>
        <w:rPr>
          <w:rFonts w:ascii="Times New Roman;serif" w:hAnsi="Times New Roman;serif"/>
          <w:b w:val="false"/>
          <w:color w:val="000000"/>
          <w:sz w:val="22"/>
        </w:rPr>
        <w:t>For transactions under a trading plan to be exempt from (A) the prohibitions in the Company’s Insider Trading Policy (the “</w:t>
      </w:r>
      <w:r>
        <w:rPr>
          <w:rFonts w:ascii="Times New Roman;serif" w:hAnsi="Times New Roman;serif"/>
          <w:b/>
          <w:color w:val="000000"/>
          <w:sz w:val="22"/>
        </w:rPr>
        <w:t>Policy</w:t>
      </w:r>
      <w:r>
        <w:rPr>
          <w:color w:val="000000"/>
        </w:rPr>
        <w:t>”</w:t>
      </w:r>
      <w:r>
        <w:rPr>
          <w:rFonts w:ascii="Times New Roman;serif" w:hAnsi="Times New Roman;serif"/>
          <w:b w:val="false"/>
          <w:color w:val="000000"/>
          <w:sz w:val="22"/>
        </w:rPr>
        <w:t>) of Kodiak AI, Inc. (together with any subsidiaries, collectively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with respect to transactions made while aware of material nonpublic information and (B) the pre-clearance procedures and blackout periods established under the Policy, the trading plan must comply with the affirmative defense set forth in Exchange Act Rule 10b5-1 and must meet the following requirements (collectively, the “</w:t>
      </w:r>
      <w:r>
        <w:rPr>
          <w:rFonts w:ascii="Times New Roman;serif" w:hAnsi="Times New Roman;serif"/>
          <w:b/>
          <w:color w:val="000000"/>
          <w:sz w:val="22"/>
        </w:rPr>
        <w:t>Trading Plan Requirements</w:t>
      </w:r>
      <w:r>
        <w:rPr>
          <w:color w:val="000000"/>
        </w:rPr>
        <w:t>”</w:t>
      </w:r>
      <w:r>
        <w:rPr>
          <w:rFonts w:ascii="Times New Roman;serif" w:hAnsi="Times New Roman;serif"/>
          <w:b w:val="false"/>
          <w:color w:val="000000"/>
          <w:sz w:val="22"/>
        </w:rPr>
        <w:t>):</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    The trading plan must be in writing and signed by the person adopting the trading plan.</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    The trading plan must be adopted at a time when:</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the person adopting the trading plan is not aware of any material nonpublic information; and</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    there is no quarterly, special or other trading blackout in effect with respect to the person adopting the plan.</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    The trading plan must be entered in good faith and not as part of a plan or scheme to evade the prohibitions of Rule 10b5-1, and the person adopting the trading plan must act in good faith with respect to the trading plan.</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4.    The trading plan must include representations that, on the date of adoption of the trading plan, the person adopting the trading plan:</w:t>
      </w:r>
    </w:p>
    <w:p>
      <w:pPr>
        <w:pStyle w:val="TextBody"/>
        <w:bidi w:val="0"/>
        <w:spacing w:lineRule="auto" w:line="288" w:before="24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a.    is not aware of material nonpublic information about the securities or the Company; and </w:t>
      </w:r>
    </w:p>
    <w:p>
      <w:pPr>
        <w:pStyle w:val="TextBody"/>
        <w:bidi w:val="0"/>
        <w:spacing w:lineRule="auto" w:line="288" w:before="24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    is adopting the trading plan in good faith and not as part of a plan or scheme to evade the prohibitions of Rule 10b5-1.</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5.    The person adopting the trading plan may not have entered into or altered a corresponding or hedging transaction or position with respect to the securities subject to the trading plan and must agree not to enter into any such transaction while the trading plan is in effect.</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6.    The first trade under the trading plan may not occur until the expiration of a cooling-off period consisting of the later of (a) 90 calendar days after the adoption of the trading plan and (b) two business days after the filing by the Company of its financial results in a Form 10-Q or Form 10-K for the completed fiscal quarter in which the trading plan was adopted (but, in any event, this required cooling-off period is subject to a maximum of 120 days after adoption of the trading plan).</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7.    The trading plan must have a minimum term of one (1) year (starting from the date of adoption of the trading plan).</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8.    The person adopting the trading plan may not have an outstanding (and may not subsequently enter into any additional) trading plan except as permitted by Rule 10b5-1. For example, as contemplated by Rule 10b5-1, a person may adopt a new trading plan before the scheduled termination date of an existing trading plan, so long as the first scheduled trade under the new trading plan does not occur prior to the last scheduled trade(s) of the existing trading plan and otherwise complies with these guidelines. Termination of the existing trading plan prior to its scheduled termination date may impact the timing of the first trade or the availability of the affirmative defense for the new trading plan; therefore, persons adopting a new trading plan are advised to exercise caution and consult with the Compliance Officer prior to the early termination of an existing trading plan.</w:t>
      </w:r>
    </w:p>
    <w:p>
      <w:pPr>
        <w:pStyle w:val="TextBody"/>
        <w:bidi w:val="0"/>
        <w:spacing w:before="0" w:after="240"/>
        <w:ind w:left="0" w:right="0" w:firstLine="720"/>
        <w:jc w:val="righ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97"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ind w:left="0" w:right="0" w:firstLine="720"/>
                        <w:jc w:val="center"/>
                        <w:rPr/>
                      </w:pPr>
                      <w:r>
                        <w:rPr/>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2"/>
        </w:rPr>
        <w:t>9.    Any modification or change to the amount, price or timing of transactions under the trading plan is deemed the termination of the trading plan, and the adoption of a new trading plan (“</w:t>
      </w:r>
      <w:r>
        <w:rPr>
          <w:rFonts w:ascii="Times New Roman;serif" w:hAnsi="Times New Roman;serif"/>
          <w:b/>
          <w:color w:val="000000"/>
          <w:sz w:val="22"/>
        </w:rPr>
        <w:t>Modification</w:t>
      </w:r>
      <w:r>
        <w:rPr>
          <w:color w:val="000000"/>
        </w:rPr>
        <w:t>”</w:t>
      </w:r>
      <w:r>
        <w:rPr>
          <w:rFonts w:ascii="Times New Roman;serif" w:hAnsi="Times New Roman;serif"/>
          <w:b w:val="false"/>
          <w:color w:val="000000"/>
          <w:sz w:val="22"/>
        </w:rPr>
        <w:t xml:space="preserve">). Therefore, a Modification must be submitted to the Compliance Officer for approval in accordance with Section I of the Policy and is subject to the same conditions as a new trading plan as set forth in Sections 1 through 8 herein.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10.    Within the one (1) year preceding the adoption or a Modification of a trading plan, a person may not have otherwise adopted or made a Modification to a plan more than once.</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11.    A person may adopt a trading plan designed to cover a single trade only once in any consecutive 12-month period except as permitted by Rule 10b5-1.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12.    If the person that adopted the trading plan terminates the plan prior to its stated duration, he or she may not trade in the Company’s securities until after the expiration of 30 calendar days following termination, and then only in accordance with the Policy.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13.    The Company must be promptly notified of any Modification or termination of the trading plan, including any suspension of trading under the trading plan.</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14.    The Company must have authority to require the suspension of the plan if there are legal, regulatory or contractual restrictions applicable to the Company or the person that adopted the trading plan, or to require the cancellation of the trading plan at any time, subject to any reasonable broker notice requirements as may be set forth in the trading plan.</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15.    If the trading plan grants discretion to a stockbroker or other person with respect to the execution of trades under the trading plan:</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the person adopting the trading plan may not exercise any subsequent influence over how, when or whether to effect purchases or sales under the plan;</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    the person adopting the trading plan may not confer with the person administering the trading plan regarding the Company or its securities; and</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    the person administering the trading plan must provide prompt notice to the Company of the execution of a transaction pursuant to the plan.</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16.    All transactions under the trading plan must be in accordance with applicable law.</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17.    Any exceptions to the Trading Plan Requirements must be approved by the Compliance Officer or, in the case of directors and officers who are subject to Section 16 of the Securities Exchange Act of 1934, by the Compliance Officer, in consultation with the Company’s board of directors, chair of the board, an independent committee of the board of directors, or the chair of such independent committee.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18.    The trading plan (including any Modification) must meet such other requirements as the Compliance Officer may determine.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Times New Roman;serif" w:hAnsi="Times New Roman;serif"/>
          <w:b/>
          <w:color w:val="000000"/>
          <w:sz w:val="22"/>
        </w:rPr>
      </w:pPr>
      <w:r>
        <w:rPr>
          <w:rFonts w:ascii="Times New Roman;serif" w:hAnsi="Times New Roman;serif"/>
          <w:b/>
          <w:color w:val="000000"/>
          <w:sz w:val="22"/>
        </w:rPr>
        <w:t>Exhibit 23.1</w:t>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8"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ind w:left="0" w:right="0" w:firstLine="72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160"/>
        <w:jc w:val="left"/>
        <w:rPr/>
      </w:pPr>
      <w:r>
        <w:rPr/>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following Registration Statements:           </w:t>
      </w:r>
    </w:p>
    <w:p>
      <w:pPr>
        <w:pStyle w:val="TextBody"/>
        <w:bidi w:val="0"/>
        <w:spacing w:lineRule="auto" w:line="300"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Registration Statement (Form S-8 No. 333-291864) pertaining to the Kodiak Robotics, Inc. 2018 Equity Incentive Plan, Kodiak AI, Inc. 2025 Equity Incentive Plan, and Kodiak AI, Inc. 2025 Employee Stock Purchase Plan of Kodiak AI, Inc., and</w:t>
      </w:r>
    </w:p>
    <w:p>
      <w:pPr>
        <w:pStyle w:val="TextBody"/>
        <w:bidi w:val="0"/>
        <w:spacing w:lineRule="auto" w:line="300"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Registration Statement (Form S-1 No. 333-290832) of Kodiak AI, Inc.;</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of our report dated May 14, 2025 (except for the effects of the reverse recapitalization described in Note 1 and Note 3, as to which the date is March 11, 2026), with respect to the consolidated financial statements of Kodiak AI, Inc. (formerly Kodiak Robotics, Inc.) included in this Annual Report (Form 10-K) of Kodiak AI, Inc. for the year ended December 31, 2025.</w:t>
      </w:r>
    </w:p>
    <w:p>
      <w:pPr>
        <w:pStyle w:val="TextBody"/>
        <w:bidi w:val="0"/>
        <w:spacing w:before="0" w:after="160"/>
        <w:jc w:val="left"/>
        <w:rPr/>
      </w:pPr>
      <w:r>
        <w:rPr/>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San Jose, California</w:t>
      </w:r>
    </w:p>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March 11, 2026</w:t>
      </w:r>
    </w:p>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9"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477" w:before="0" w:after="0"/>
        <w:jc w:val="right"/>
        <w:rPr>
          <w:rFonts w:ascii="Times New Roman;serif" w:hAnsi="Times New Roman;serif"/>
          <w:b/>
          <w:color w:val="000000"/>
          <w:sz w:val="21"/>
          <w:shd w:fill="FFFFFF" w:val="clear"/>
        </w:rPr>
      </w:pPr>
      <w:r>
        <w:rPr>
          <w:rFonts w:ascii="Times New Roman;serif" w:hAnsi="Times New Roman;serif"/>
          <w:b/>
          <w:color w:val="000000"/>
          <w:sz w:val="21"/>
          <w:shd w:fill="FFFFFF" w:val="clear"/>
        </w:rPr>
        <w:t>Exhibit 23.2</w:t>
      </w:r>
    </w:p>
    <w:p>
      <w:pPr>
        <w:pStyle w:val="TextBody"/>
        <w:bidi w:val="0"/>
        <w:spacing w:before="0" w:after="0"/>
        <w:jc w:val="left"/>
        <w:rPr/>
      </w:pPr>
      <w:r>
        <w:rPr/>
      </w:r>
    </w:p>
    <w:p>
      <w:pPr>
        <w:pStyle w:val="TextBody"/>
        <w:bidi w:val="0"/>
        <w:spacing w:lineRule="auto" w:line="477" w:before="0" w:after="0"/>
        <w:jc w:val="left"/>
        <w:rPr>
          <w:rFonts w:ascii="Times New Roman;serif" w:hAnsi="Times New Roman;serif"/>
          <w:b/>
          <w:color w:val="000000"/>
          <w:sz w:val="21"/>
        </w:rPr>
      </w:pPr>
      <w:r>
        <w:rPr>
          <w:rFonts w:ascii="Times New Roman;serif" w:hAnsi="Times New Roman;serif"/>
          <w:b/>
          <w:color w:val="000000"/>
          <w:sz w:val="21"/>
        </w:rPr>
      </w:r>
    </w:p>
    <w:p>
      <w:pPr>
        <w:pStyle w:val="TextBody"/>
        <w:bidi w:val="0"/>
        <w:spacing w:lineRule="auto" w:line="477" w:before="0" w:after="0"/>
        <w:jc w:val="left"/>
        <w:rPr>
          <w:rFonts w:ascii="Times New Roman;serif" w:hAnsi="Times New Roman;serif"/>
          <w:b/>
          <w:color w:val="000000"/>
          <w:sz w:val="21"/>
          <w:shd w:fill="FFFFFF" w:val="clear"/>
        </w:rPr>
      </w:pPr>
      <w:r>
        <w:rPr>
          <w:rFonts w:ascii="Times New Roman;serif" w:hAnsi="Times New Roman;serif"/>
          <w:b/>
          <w:color w:val="000000"/>
          <w:sz w:val="21"/>
          <w:shd w:fill="FFFFFF" w:val="clear"/>
        </w:rPr>
        <w:t>CONSENT OF INDEPENDENT REGISTERED PUBLIC ACCOUNTING FIRM</w:t>
      </w:r>
    </w:p>
    <w:p>
      <w:pPr>
        <w:pStyle w:val="TextBody"/>
        <w:bidi w:val="0"/>
        <w:spacing w:before="0" w:after="0"/>
        <w:jc w:val="left"/>
        <w:rPr/>
      </w:pPr>
      <w:r>
        <w:rPr/>
      </w:r>
    </w:p>
    <w:p>
      <w:pPr>
        <w:pStyle w:val="TextBody"/>
        <w:bidi w:val="0"/>
        <w:spacing w:lineRule="auto" w:line="477" w:before="0" w:after="0"/>
        <w:jc w:val="left"/>
        <w:rPr>
          <w:rFonts w:ascii="Times New Roman;serif" w:hAnsi="Times New Roman;serif"/>
          <w:b w:val="false"/>
          <w:color w:val="000000"/>
          <w:sz w:val="21"/>
          <w:shd w:fill="FFFFFF" w:val="clear"/>
        </w:rPr>
      </w:pPr>
      <w:r>
        <w:rPr>
          <w:rFonts w:ascii="Times New Roman;serif" w:hAnsi="Times New Roman;serif"/>
          <w:b w:val="false"/>
          <w:color w:val="000000"/>
          <w:sz w:val="21"/>
          <w:shd w:fill="FFFFFF" w:val="clear"/>
        </w:rPr>
        <w:t>We consent to the incorporation by reference in the Registration Statement No. 333-291864 on Form S-8 of our report dated March 11, 2026, relating to the financial statements of Kodiak AI, Inc. appearing in this Annual Report on Form 10-K for the year ended December 31,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77" w:before="0" w:after="0"/>
        <w:jc w:val="left"/>
        <w:rPr>
          <w:rFonts w:ascii="Times New Roman;serif" w:hAnsi="Times New Roman;serif"/>
          <w:b w:val="false"/>
          <w:color w:val="000000"/>
          <w:sz w:val="21"/>
          <w:shd w:fill="FFFFFF" w:val="clear"/>
        </w:rPr>
      </w:pPr>
      <w:r>
        <w:rPr>
          <w:rFonts w:ascii="Times New Roman;serif" w:hAnsi="Times New Roman;serif"/>
          <w:b w:val="false"/>
          <w:color w:val="000000"/>
          <w:sz w:val="21"/>
          <w:shd w:fill="FFFFFF" w:val="clear"/>
        </w:rPr>
        <w:t xml:space="preserve">/s/ Deloitte &amp; Touche LLP </w:t>
        <w:br/>
        <w:t>San Jose, California</w:t>
        <w:br/>
        <w:t>March 11, 2026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200"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right"/>
        <w:rPr>
          <w:rFonts w:ascii="Times New Roman;serif" w:hAnsi="Times New Roman;serif"/>
          <w:b/>
          <w:color w:val="000000"/>
          <w:sz w:val="24"/>
        </w:rPr>
      </w:pPr>
      <w:r>
        <w:rPr>
          <w:rFonts w:ascii="Times New Roman;serif" w:hAnsi="Times New Roman;serif"/>
          <w:b/>
          <w:color w:val="000000"/>
          <w:sz w:val="24"/>
        </w:rPr>
        <w:t>EXHIBIT 31.1</w: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CERTIFICATION PURSUANT TO</w: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 xml:space="preserve">RULES 13a-14(a) AND 15d-14(a) UNDER THE SECURITIES EXCHANGE ACT OF 1934, </w:t>
      </w:r>
    </w:p>
    <w:p>
      <w:pPr>
        <w:pStyle w:val="TextBody"/>
        <w:bidi w:val="0"/>
        <w:spacing w:lineRule="auto" w:line="321" w:before="0" w:after="360"/>
        <w:jc w:val="center"/>
        <w:rPr>
          <w:rFonts w:ascii="Times New Roman;serif" w:hAnsi="Times New Roman;serif"/>
          <w:b/>
          <w:color w:val="000000"/>
          <w:sz w:val="24"/>
        </w:rPr>
      </w:pPr>
      <w:r>
        <w:rPr>
          <w:rFonts w:ascii="Times New Roman;serif" w:hAnsi="Times New Roman;serif"/>
          <w:b/>
          <w:color w:val="000000"/>
          <w:sz w:val="24"/>
        </w:rPr>
        <w:t>AS ADOPTED PURSUANT TO SECTION 302 OF THE SARBANES-OXLEY ACT OF 2002</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I, Don Burnette, certify that:</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    I have reviewed this Annual Report on Form 10-K of Kodiak AI, Inc.;</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201"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reasonably likely to materially affect, the registrant’s internal control over financial reporting; and</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21" w:before="0" w:after="3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b.    Any fraud, whether or not material, that involves management or other employees who have a significant role in the registrant’s internal control over financial reporting.</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Dated: March 11, 2026</w:t>
      </w:r>
    </w:p>
    <w:tbl>
      <w:tblPr>
        <w:tblW w:w="3222" w:type="dxa"/>
        <w:jc w:val="left"/>
        <w:tblInd w:w="0" w:type="dxa"/>
        <w:tblLayout w:type="fixed"/>
        <w:tblCellMar>
          <w:top w:w="28" w:type="dxa"/>
          <w:left w:w="28" w:type="dxa"/>
          <w:bottom w:w="28" w:type="dxa"/>
          <w:right w:w="28" w:type="dxa"/>
        </w:tblCellMar>
      </w:tblPr>
      <w:tblGrid>
        <w:gridCol w:w="124"/>
        <w:gridCol w:w="109"/>
        <w:gridCol w:w="109"/>
        <w:gridCol w:w="842"/>
        <w:gridCol w:w="842"/>
        <w:gridCol w:w="11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80"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8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/s/ Don Burnette</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8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Don Burnette</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8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8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(Principal Executive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202"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right"/>
        <w:rPr>
          <w:rFonts w:ascii="Times New Roman;serif" w:hAnsi="Times New Roman;serif"/>
          <w:b/>
          <w:color w:val="000000"/>
          <w:sz w:val="24"/>
        </w:rPr>
      </w:pPr>
      <w:r>
        <w:rPr>
          <w:rFonts w:ascii="Times New Roman;serif" w:hAnsi="Times New Roman;serif"/>
          <w:b/>
          <w:color w:val="000000"/>
          <w:sz w:val="24"/>
        </w:rPr>
        <w:t>EXHIBIT 31.2</w: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CERTIFICATION PURSUANT TO</w: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RULES 13a-14(a) AND 15d-14(a) UNDER THE SECURITIES EXCHANGE ACT OF 1934,</w:t>
      </w:r>
    </w:p>
    <w:p>
      <w:pPr>
        <w:pStyle w:val="TextBody"/>
        <w:bidi w:val="0"/>
        <w:spacing w:lineRule="auto" w:line="321" w:before="0" w:after="360"/>
        <w:jc w:val="center"/>
        <w:rPr>
          <w:rFonts w:ascii="Times New Roman;serif" w:hAnsi="Times New Roman;serif"/>
          <w:b/>
          <w:color w:val="000000"/>
          <w:sz w:val="24"/>
        </w:rPr>
      </w:pPr>
      <w:r>
        <w:rPr>
          <w:rFonts w:ascii="Times New Roman;serif" w:hAnsi="Times New Roman;serif"/>
          <w:b/>
          <w:color w:val="000000"/>
          <w:sz w:val="24"/>
        </w:rPr>
        <w:t>AS ADOPTED PURSUANT TO SECTION 302 OF THE SARBANES-OXLEY ACT OF 2002</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I, Surajit Datta, certify that:</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    I have reviewed this Annual Report on Form 10-K of Kodiak AI, Inc.;</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203"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reasonably likely to materially affect, the registrant’s internal control over financial reporting; and</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21" w:before="0" w:after="3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b.    Any fraud, whether or not material, that involves management or other employees who have a significant role in the registrant’s internal control over financial reporting.</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Dated: March 11, 2026</w:t>
      </w:r>
    </w:p>
    <w:tbl>
      <w:tblPr>
        <w:tblW w:w="3147" w:type="dxa"/>
        <w:jc w:val="left"/>
        <w:tblInd w:w="0" w:type="dxa"/>
        <w:tblLayout w:type="fixed"/>
        <w:tblCellMar>
          <w:top w:w="28" w:type="dxa"/>
          <w:left w:w="28" w:type="dxa"/>
          <w:bottom w:w="28" w:type="dxa"/>
          <w:right w:w="28" w:type="dxa"/>
        </w:tblCellMar>
      </w:tblPr>
      <w:tblGrid>
        <w:gridCol w:w="124"/>
        <w:gridCol w:w="109"/>
        <w:gridCol w:w="109"/>
        <w:gridCol w:w="819"/>
        <w:gridCol w:w="819"/>
        <w:gridCol w:w="11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0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/s/ Surajit Datta</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0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Surajit Datta</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0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0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(Principal Financial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204"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right"/>
        <w:rPr>
          <w:rFonts w:ascii="Times New Roman;serif" w:hAnsi="Times New Roman;serif"/>
          <w:b/>
          <w:color w:val="000000"/>
          <w:sz w:val="24"/>
        </w:rPr>
      </w:pPr>
      <w:r>
        <w:rPr>
          <w:rFonts w:ascii="Times New Roman;serif" w:hAnsi="Times New Roman;serif"/>
          <w:b/>
          <w:color w:val="000000"/>
          <w:sz w:val="24"/>
        </w:rPr>
        <w:t>EXHIBIT 32.1</w: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CERTIFICATION PURSUANT TO</w: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18 U.S.C. SECTION 1350, AS ADOPTED PURSUANT TO</w:t>
      </w:r>
    </w:p>
    <w:p>
      <w:pPr>
        <w:pStyle w:val="TextBody"/>
        <w:bidi w:val="0"/>
        <w:spacing w:lineRule="auto" w:line="321" w:before="0" w:after="360"/>
        <w:jc w:val="center"/>
        <w:rPr>
          <w:rFonts w:ascii="Times New Roman;serif" w:hAnsi="Times New Roman;serif"/>
          <w:b/>
          <w:color w:val="000000"/>
          <w:sz w:val="24"/>
        </w:rPr>
      </w:pPr>
      <w:r>
        <w:rPr>
          <w:rFonts w:ascii="Times New Roman;serif" w:hAnsi="Times New Roman;serif"/>
          <w:b/>
          <w:color w:val="000000"/>
          <w:sz w:val="24"/>
        </w:rPr>
        <w:t>SECTION 906 OF THE SARBANES-OXLEY ACT OF 2002</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In connection with the Annual Report of Kodiak AI, Inc. (the “Company”) on Form 10-K for the period ended December 31, 2025, as filed with the Securities and Exchange Commission on the date hereof (the “Report”), I certify, pursuant to 18 U.S.C. § 1350, as adopted pursuant to § 906 of the Sarbanes-Oxley Act of 2002, that:</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    The Report fully complies with the requirements of Section 13(a) or 15(d) of the Securities Exchange Act of 1934; and</w:t>
      </w:r>
    </w:p>
    <w:p>
      <w:pPr>
        <w:pStyle w:val="TextBody"/>
        <w:bidi w:val="0"/>
        <w:spacing w:lineRule="auto" w:line="321" w:before="0" w:after="3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    The information contained in the Report fairly presents, in all material respects, the financial condition and result of operations of the Company.</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Dated: March 11, 2026</w:t>
      </w:r>
    </w:p>
    <w:tbl>
      <w:tblPr>
        <w:tblW w:w="3222" w:type="dxa"/>
        <w:jc w:val="left"/>
        <w:tblInd w:w="0" w:type="dxa"/>
        <w:tblLayout w:type="fixed"/>
        <w:tblCellMar>
          <w:top w:w="28" w:type="dxa"/>
          <w:left w:w="28" w:type="dxa"/>
          <w:bottom w:w="28" w:type="dxa"/>
          <w:right w:w="28" w:type="dxa"/>
        </w:tblCellMar>
      </w:tblPr>
      <w:tblGrid>
        <w:gridCol w:w="124"/>
        <w:gridCol w:w="109"/>
        <w:gridCol w:w="109"/>
        <w:gridCol w:w="842"/>
        <w:gridCol w:w="842"/>
        <w:gridCol w:w="11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8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/s/ Don Burnette</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8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Don Burnette</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8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8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(Principal Executive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205"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right"/>
        <w:rPr>
          <w:rFonts w:ascii="Times New Roman;serif" w:hAnsi="Times New Roman;serif"/>
          <w:b/>
          <w:color w:val="000000"/>
          <w:sz w:val="24"/>
        </w:rPr>
      </w:pPr>
      <w:r>
        <w:rPr>
          <w:rFonts w:ascii="Times New Roman;serif" w:hAnsi="Times New Roman;serif"/>
          <w:b/>
          <w:color w:val="000000"/>
          <w:sz w:val="24"/>
        </w:rPr>
        <w:t>EXHIBIT 32.2</w: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CERTIFICATION PURSUANT TO</w: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18 U.S.C. SECTION 1350, AS ADOPTED PURSUANT TO</w:t>
      </w:r>
    </w:p>
    <w:p>
      <w:pPr>
        <w:pStyle w:val="TextBody"/>
        <w:bidi w:val="0"/>
        <w:spacing w:lineRule="auto" w:line="321" w:before="0" w:after="360"/>
        <w:jc w:val="center"/>
        <w:rPr>
          <w:rFonts w:ascii="Times New Roman;serif" w:hAnsi="Times New Roman;serif"/>
          <w:b/>
          <w:color w:val="000000"/>
          <w:sz w:val="24"/>
        </w:rPr>
      </w:pPr>
      <w:r>
        <w:rPr>
          <w:rFonts w:ascii="Times New Roman;serif" w:hAnsi="Times New Roman;serif"/>
          <w:b/>
          <w:color w:val="000000"/>
          <w:sz w:val="24"/>
        </w:rPr>
        <w:t>SECTION 906 OF THE SARBANES-OXLEY ACT OF 2002</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In connection with the Annual Report of Kodiak AI, Inc. (the “Company”) on Form 10-K for the period ended December 31, 2025, as filed with the Securities and Exchange Commission on the date hereof (the “Report”), I certify, pursuant to 18 U.S.C. § 1350, as adopted pursuant to § 906 of the Sarbanes-Oxley Act of 2002, that:</w:t>
      </w:r>
    </w:p>
    <w:p>
      <w:pPr>
        <w:pStyle w:val="TextBody"/>
        <w:bidi w:val="0"/>
        <w:spacing w:lineRule="auto" w:line="321" w:before="0" w:after="1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    The Report fully complies with the requirements of Section 13(a) or 15(d) of the Securities Exchange Act of 1934; and</w:t>
      </w:r>
    </w:p>
    <w:p>
      <w:pPr>
        <w:pStyle w:val="TextBody"/>
        <w:bidi w:val="0"/>
        <w:spacing w:lineRule="auto" w:line="321" w:before="0" w:after="36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    The information contained in the Report fairly presents, in all material respects, the financial condition and result of operations of the Company.</w:t>
      </w:r>
    </w:p>
    <w:p>
      <w:pPr>
        <w:pStyle w:val="TextBody"/>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Dated: March 11, 2026</w:t>
      </w:r>
    </w:p>
    <w:tbl>
      <w:tblPr>
        <w:tblW w:w="3147" w:type="dxa"/>
        <w:jc w:val="left"/>
        <w:tblInd w:w="0" w:type="dxa"/>
        <w:tblLayout w:type="fixed"/>
        <w:tblCellMar>
          <w:top w:w="28" w:type="dxa"/>
          <w:left w:w="28" w:type="dxa"/>
          <w:bottom w:w="28" w:type="dxa"/>
          <w:right w:w="28" w:type="dxa"/>
        </w:tblCellMar>
      </w:tblPr>
      <w:tblGrid>
        <w:gridCol w:w="124"/>
        <w:gridCol w:w="109"/>
        <w:gridCol w:w="109"/>
        <w:gridCol w:w="819"/>
        <w:gridCol w:w="819"/>
        <w:gridCol w:w="11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0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/s/ Surajit Datta</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0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Surajit Datta</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0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80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(Principal Financial Officer)</w:t>
            </w:r>
          </w:p>
        </w:tc>
      </w:tr>
    </w:tbl>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206"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DM San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s://www.sec.gov/Archives/edgar/data/1853138/000119312525079657/d948522dex21.htm" TargetMode="External"/><Relationship Id="rId7" Type="http://schemas.openxmlformats.org/officeDocument/2006/relationships/hyperlink" Target="https://www.sec.gov/Archives/edgar/data/1853138/000119312525225299/d933659dex32.htm" TargetMode="External"/><Relationship Id="rId8" Type="http://schemas.openxmlformats.org/officeDocument/2006/relationships/hyperlink" Target="https://www.sec.gov/Archives/edgar/data/1853138/000119312525152053/d948047dex1020.htm" TargetMode="External"/><Relationship Id="rId9" Type="http://schemas.openxmlformats.org/officeDocument/2006/relationships/hyperlink" Target="https://www.sec.gov/Archives/edgar/data/1853138/000119312525225299/d933659dex31.htm" TargetMode="External"/><Relationship Id="rId10" Type="http://schemas.openxmlformats.org/officeDocument/2006/relationships/hyperlink" Target="https://www.sec.gov/Archives/edgar/data/1853138/000119312525225299/d933659dex33.htm" TargetMode="External"/><Relationship Id="rId11" Type="http://schemas.openxmlformats.org/officeDocument/2006/relationships/hyperlink" Target="https://www.sec.gov/Archives/edgar/data/1853138/000119312525225299/d933659dex44.htm" TargetMode="External"/><Relationship Id="rId12" Type="http://schemas.openxmlformats.org/officeDocument/2006/relationships/hyperlink" Target="https://www.sec.gov/Archives/edgar/data/1853138/000119312523118586/d385718dex41.htm" TargetMode="External"/><Relationship Id="rId13" Type="http://schemas.openxmlformats.org/officeDocument/2006/relationships/hyperlink" Target="https://www.sec.gov/Archives/edgar/data/1747286/000119312525187391/d948047dex46.htm" TargetMode="External"/><Relationship Id="rId14" Type="http://schemas.openxmlformats.org/officeDocument/2006/relationships/hyperlink" Target="https://www.sec.gov/Archives/edgar/data/1853138/000119312525225299/d933659dex44.htm" TargetMode="External"/><Relationship Id="rId15" Type="http://schemas.openxmlformats.org/officeDocument/2006/relationships/hyperlink" Target="https://www.sec.gov/Archives/edgar/data/1853138/000119312525202878/d945093dex41.htm" TargetMode="External"/><Relationship Id="rId16" Type="http://schemas.openxmlformats.org/officeDocument/2006/relationships/hyperlink" Target="https://www.sec.gov/Archives/edgar/data/1853138/000119312525212149/d946584dex41.htm" TargetMode="External"/><Relationship Id="rId17" Type="http://schemas.openxmlformats.org/officeDocument/2006/relationships/hyperlink" Target="https://www.sec.gov/Archives/edgar/data/1853138/000119312525225299/d933659dex108.htm" TargetMode="External"/><Relationship Id="rId18" Type="http://schemas.openxmlformats.org/officeDocument/2006/relationships/hyperlink" Target="https://www.sec.gov/Archives/edgar/data/1853138/000119312525225299/d933659dex1015.htm" TargetMode="External"/><Relationship Id="rId19" Type="http://schemas.openxmlformats.org/officeDocument/2006/relationships/hyperlink" Target="https://www.sec.gov/Archives/edgar/data/1853138/000119312525225299/d933659dex1016.htm" TargetMode="External"/><Relationship Id="rId20" Type="http://schemas.openxmlformats.org/officeDocument/2006/relationships/hyperlink" Target="https://www.sec.gov/Archives/edgar/data/1853138/000119312525225299/d933659dex1017.htm" TargetMode="External"/><Relationship Id="rId21" Type="http://schemas.openxmlformats.org/officeDocument/2006/relationships/hyperlink" Target="https://www.sec.gov/Archives/edgar/data/1853138/000119312525225299/d933659dex1018.htm" TargetMode="External"/><Relationship Id="rId22" Type="http://schemas.openxmlformats.org/officeDocument/2006/relationships/hyperlink" Target="https://www.sec.gov/Archives/edgar/data/1853138/000119312525225299/d933659dex1020.htm" TargetMode="External"/><Relationship Id="rId23" Type="http://schemas.openxmlformats.org/officeDocument/2006/relationships/hyperlink" Target="https://www.sec.gov/Archives/edgar/data/1853138/000119312525225299/d933659dex1021.htm" TargetMode="External"/><Relationship Id="rId24" Type="http://schemas.openxmlformats.org/officeDocument/2006/relationships/hyperlink" Target="https://www.sec.gov/Archives/edgar/data/1747286/000119312525165628/d948047dex106.htm" TargetMode="External"/><Relationship Id="rId25" Type="http://schemas.openxmlformats.org/officeDocument/2006/relationships/hyperlink" Target="https://www.sec.gov/Archives/edgar/data/1747286/000119312525165628/d948047dex108.htm" TargetMode="External"/><Relationship Id="rId26" Type="http://schemas.openxmlformats.org/officeDocument/2006/relationships/hyperlink" Target="https://www.sec.gov/Archives/edgar/data/1747286/000119312525181961/d948047dex1010.htm" TargetMode="External"/><Relationship Id="rId27" Type="http://schemas.openxmlformats.org/officeDocument/2006/relationships/hyperlink" Target="https://www.sec.gov/Archives/edgar/data/1853138/000119312525079657/d948522dex102.htm" TargetMode="External"/><Relationship Id="rId28" Type="http://schemas.openxmlformats.org/officeDocument/2006/relationships/hyperlink" Target="https://www.sec.gov/Archives/edgar/data/1853138/000119312523118586/d385718dex104.htm" TargetMode="External"/><Relationship Id="rId29" Type="http://schemas.openxmlformats.org/officeDocument/2006/relationships/hyperlink" Target="https://www.sec.gov/Archives/edgar/data/1853138/000185313825000022/exhibit101-ventureloanands.htm" TargetMode="External"/><Relationship Id="rId30" Type="http://schemas.openxmlformats.org/officeDocument/2006/relationships/hyperlink" Target="https://www.sec.gov/Archives/edgar/data/1853138/000119312525152053/d948047dex1023.htm" TargetMode="External"/><Relationship Id="rId31" Type="http://schemas.openxmlformats.org/officeDocument/2006/relationships/hyperlink" Target="https://www.sec.gov/Archives/edgar/data/1747286/000119312525181961/d948047dex1027.htm" TargetMode="External"/><Relationship Id="rId32" Type="http://schemas.openxmlformats.org/officeDocument/2006/relationships/hyperlink" Target="https://www.sec.gov/Archives/edgar/data/1853138/000119312525152053/d948047dex1020.htm" TargetMode="External"/><Relationship Id="rId33" Type="http://schemas.openxmlformats.org/officeDocument/2006/relationships/hyperlink" Target="https://www.sec.gov/Archives/edgar/data/1747286/000119312525187391/d948047dex1028.htm" TargetMode="External"/><Relationship Id="rId34" Type="http://schemas.openxmlformats.org/officeDocument/2006/relationships/hyperlink" Target="https://www.sec.gov/Archives/edgar/data/1747286/000119312525152053/d948047dex1024.htm" TargetMode="External"/><Relationship Id="rId35" Type="http://schemas.openxmlformats.org/officeDocument/2006/relationships/hyperlink" Target="https://www.sec.gov/Archives/edgar/data/1747286/000119312525152053/d948047dex1025.htm" TargetMode="External"/><Relationship Id="rId36" Type="http://schemas.openxmlformats.org/officeDocument/2006/relationships/hyperlink" Target="https://www.sec.gov/Archives/edgar/data/1747286/000119312525152053/d948047dex1026.htm" TargetMode="External"/><Relationship Id="rId37" Type="http://schemas.openxmlformats.org/officeDocument/2006/relationships/hyperlink" Target="https://www.sec.gov/Archives/edgar/data/1747286/000119312525152053/d948047dex1027.htm" TargetMode="External"/><Relationship Id="rId38" Type="http://schemas.openxmlformats.org/officeDocument/2006/relationships/hyperlink" Target="https://www.sec.gov/Archives/edgar/data/1747286/000119312525152053/d948047dex1028.htm" TargetMode="External"/><Relationship Id="rId39" Type="http://schemas.openxmlformats.org/officeDocument/2006/relationships/hyperlink" Target="https://www.sec.gov/Archives/edgar/data/1853138/000119312525225299/d933659dex109.htm" TargetMode="External"/><Relationship Id="rId40" Type="http://schemas.openxmlformats.org/officeDocument/2006/relationships/hyperlink" Target="https://www.sec.gov/Archives/edgar/data/1747286/000119312525181961/d948047dex1035.htm" TargetMode="External"/><Relationship Id="rId41" Type="http://schemas.openxmlformats.org/officeDocument/2006/relationships/hyperlink" Target="https://www.sec.gov/Archives/edgar/data/1853138/000119312525202878/d945093dex102.htm" TargetMode="External"/><Relationship Id="rId42" Type="http://schemas.openxmlformats.org/officeDocument/2006/relationships/hyperlink" Target="https://www.sec.gov/Archives/edgar/data/1853138/000119312525202878/d945093dex101.htm" TargetMode="External"/><Relationship Id="rId43" Type="http://schemas.openxmlformats.org/officeDocument/2006/relationships/hyperlink" Target="https://www.sec.gov/Archives/edgar/data/1853138/000119312525212149/d946584dex102.htm" TargetMode="External"/><Relationship Id="rId44" Type="http://schemas.openxmlformats.org/officeDocument/2006/relationships/hyperlink" Target="https://www.sec.gov/Archives/edgar/data/1853138/000119312525212149/d946584dex101.htm" TargetMode="External"/><Relationship Id="rId45" Type="http://schemas.openxmlformats.org/officeDocument/2006/relationships/hyperlink" Target="https://www.sec.gov/Archives/edgar/data/1853138/000119312525237165/d46628dex211.htm" TargetMode="External"/><Relationship Id="rId46" Type="http://schemas.openxmlformats.org/officeDocument/2006/relationships/hyperlink" Target="https://www.sec.gov/Archives/edgar/data/1853138/000119312525237165/d46628dex211.htm" TargetMode="External"/><Relationship Id="rId47" Type="http://schemas.openxmlformats.org/officeDocument/2006/relationships/hyperlink" Target="https://www.sec.gov/Archives/edgar/data/1853138/000119312525237165/d46628dex211.htm" TargetMode="External"/><Relationship Id="rId48" Type="http://schemas.openxmlformats.org/officeDocument/2006/relationships/hyperlink" Target="https://www.sec.gov/Archives/edgar/data/1853138/000119312525237165/d46628dex211.htm" TargetMode="External"/><Relationship Id="rId49" Type="http://schemas.openxmlformats.org/officeDocument/2006/relationships/hyperlink" Target="https://www.sec.gov/Archives/edgar/data/1853138/000119312525225299/d933659dex1019.htm" TargetMode="External"/><Relationship Id="rId50" Type="http://schemas.openxmlformats.org/officeDocument/2006/relationships/hyperlink" Target="https://www.sec.gov/Archives/edgar/data/1853138/000119312525152053/d948047dex1020.htm" TargetMode="External"/><Relationship Id="rId51" Type="http://schemas.openxmlformats.org/officeDocument/2006/relationships/image" Target="media/image5.png"/><Relationship Id="rId52" Type="http://schemas.openxmlformats.org/officeDocument/2006/relationships/image" Target="media/image6.png"/><Relationship Id="rId53" Type="http://schemas.openxmlformats.org/officeDocument/2006/relationships/image" Target="media/image6.png"/><Relationship Id="rId54" Type="http://schemas.openxmlformats.org/officeDocument/2006/relationships/image" Target="media/image6.png"/><Relationship Id="rId55" Type="http://schemas.openxmlformats.org/officeDocument/2006/relationships/image" Target="media/image6.png"/><Relationship Id="rId56" Type="http://schemas.openxmlformats.org/officeDocument/2006/relationships/image" Target="media/image6.png"/><Relationship Id="rId57" Type="http://schemas.openxmlformats.org/officeDocument/2006/relationships/image" Target="media/image6.png"/><Relationship Id="rId58" Type="http://schemas.openxmlformats.org/officeDocument/2006/relationships/image" Target="media/image6.png"/><Relationship Id="rId59" Type="http://schemas.openxmlformats.org/officeDocument/2006/relationships/image" Target="media/image6.png"/><Relationship Id="rId60" Type="http://schemas.openxmlformats.org/officeDocument/2006/relationships/image" Target="media/image6.png"/><Relationship Id="rId61" Type="http://schemas.openxmlformats.org/officeDocument/2006/relationships/image" Target="media/image6.png"/><Relationship Id="rId62" Type="http://schemas.openxmlformats.org/officeDocument/2006/relationships/image" Target="media/image6.png"/><Relationship Id="rId63" Type="http://schemas.openxmlformats.org/officeDocument/2006/relationships/image" Target="media/image6.png"/><Relationship Id="rId64" Type="http://schemas.openxmlformats.org/officeDocument/2006/relationships/image" Target="media/image6.png"/><Relationship Id="rId65" Type="http://schemas.openxmlformats.org/officeDocument/2006/relationships/image" Target="media/image6.png"/><Relationship Id="rId66" Type="http://schemas.openxmlformats.org/officeDocument/2006/relationships/image" Target="media/image6.png"/><Relationship Id="rId67" Type="http://schemas.openxmlformats.org/officeDocument/2006/relationships/image" Target="media/image6.png"/><Relationship Id="rId68" Type="http://schemas.openxmlformats.org/officeDocument/2006/relationships/image" Target="media/image6.png"/><Relationship Id="rId69" Type="http://schemas.openxmlformats.org/officeDocument/2006/relationships/fontTable" Target="fontTable.xml"/><Relationship Id="rId7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57</Pages>
  <Words>107181</Words>
  <Characters>590243</Characters>
  <CharactersWithSpaces>694698</CharactersWithSpaces>
  <Paragraphs>5203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