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August 6,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Kodiak AI, Inc.</w:t>
      </w:r>
    </w:p>
    <w:p>
      <w:pPr>
        <w:pStyle w:val="TextBody"/>
        <w:bidi w:val="0"/>
        <w:spacing w:lineRule="auto" w:line="288" w:before="0" w:after="3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7222" w:type="dxa"/>
        <w:jc w:val="left"/>
        <w:tblInd w:w="0" w:type="dxa"/>
        <w:tblLayout w:type="fixed"/>
        <w:tblCellMar>
          <w:top w:w="28" w:type="dxa"/>
          <w:left w:w="28" w:type="dxa"/>
          <w:bottom w:w="28" w:type="dxa"/>
          <w:right w:w="28" w:type="dxa"/>
        </w:tblCellMar>
      </w:tblPr>
      <w:tblGrid>
        <w:gridCol w:w="883"/>
        <w:gridCol w:w="779"/>
        <w:gridCol w:w="783"/>
        <w:gridCol w:w="109"/>
        <w:gridCol w:w="109"/>
        <w:gridCol w:w="109"/>
        <w:gridCol w:w="727"/>
        <w:gridCol w:w="727"/>
        <w:gridCol w:w="735"/>
        <w:gridCol w:w="109"/>
        <w:gridCol w:w="109"/>
        <w:gridCol w:w="109"/>
        <w:gridCol w:w="564"/>
        <w:gridCol w:w="564"/>
        <w:gridCol w:w="806"/>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001-41691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98-1592112</w:t>
            </w:r>
          </w:p>
        </w:tc>
      </w:tr>
      <w:tr>
        <w:trPr/>
        <w:tc>
          <w:tcPr>
            <w:tcW w:w="2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Number)</w:t>
            </w:r>
          </w:p>
        </w:tc>
      </w:tr>
    </w:tbl>
    <w:tbl>
      <w:tblPr>
        <w:tblW w:w="5486" w:type="dxa"/>
        <w:jc w:val="left"/>
        <w:tblInd w:w="0" w:type="dxa"/>
        <w:tblLayout w:type="fixed"/>
        <w:tblCellMar>
          <w:top w:w="28" w:type="dxa"/>
          <w:left w:w="28" w:type="dxa"/>
          <w:bottom w:w="28" w:type="dxa"/>
          <w:right w:w="28" w:type="dxa"/>
        </w:tblCellMar>
      </w:tblPr>
      <w:tblGrid>
        <w:gridCol w:w="1509"/>
        <w:gridCol w:w="1327"/>
        <w:gridCol w:w="1333"/>
        <w:gridCol w:w="109"/>
        <w:gridCol w:w="109"/>
        <w:gridCol w:w="109"/>
        <w:gridCol w:w="290"/>
        <w:gridCol w:w="290"/>
        <w:gridCol w:w="410"/>
      </w:tblGrid>
      <w:tr>
        <w:trP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1049 Terra Bella Avenue, Mountain View,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94043</w:t>
            </w:r>
          </w:p>
        </w:tc>
      </w:tr>
      <w:tr>
        <w:trPr/>
        <w:tc>
          <w:tcPr>
            <w:tcW w:w="4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(650) 209-8005</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3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66"/>
        <w:gridCol w:w="2033"/>
        <w:gridCol w:w="2045"/>
        <w:gridCol w:w="109"/>
        <w:gridCol w:w="109"/>
        <w:gridCol w:w="109"/>
        <w:gridCol w:w="294"/>
        <w:gridCol w:w="289"/>
        <w:gridCol w:w="290"/>
        <w:gridCol w:w="109"/>
        <w:gridCol w:w="109"/>
        <w:gridCol w:w="109"/>
        <w:gridCol w:w="653"/>
        <w:gridCol w:w="653"/>
        <w:gridCol w:w="928"/>
      </w:tblGrid>
      <w:tr>
        <w:trPr/>
        <w:tc>
          <w:tcPr>
            <w:tcW w:w="236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6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w:t>
              <w:br/>
              <w:t>exchange on which registered</w:t>
            </w:r>
          </w:p>
        </w:tc>
      </w:tr>
      <w:tr>
        <w:trPr/>
        <w:tc>
          <w:tcPr>
            <w:tcW w:w="6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KDK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64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Redeemable warrants, each exercisable for one share of common stock at an exercise price of $9.28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KDKRW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or Rule 12b-2 of the Securities Exchange Act of 1934 (§ 240.12b-2).</w:t>
      </w:r>
    </w:p>
    <w:p>
      <w:pPr>
        <w:pStyle w:val="TextBody"/>
        <w:bidi w:val="0"/>
        <w:spacing w:lineRule="auto" w:line="288" w:before="0" w:after="12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6, 2026, the Company issued a press release announcing financial results for the second quarter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copy of the press release is furnished as Exhibit 99.1 to this Current Report on Form 8-K and is incorporated by reference herein.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above, including Exhibit 99.1, is furnished pursuant to Item 2.02 of Form 8-K and shall not be deemed “filed” for purposes of Section 18 of the Securities Exchange Act of 1934, as amended (the “Exchange Act”), or otherwise subject to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i/>
          <w:color w:val="000000"/>
          <w:sz w:val="20"/>
        </w:rPr>
      </w:pPr>
      <w:r>
        <w:rPr>
          <w:rFonts w:ascii="Times New Roman;serif" w:hAnsi="Times New Roman;serif"/>
          <w:b/>
          <w:i/>
          <w:color w:val="000000"/>
          <w:sz w:val="20"/>
        </w:rPr>
        <w:t>(d)Exhibits.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33"/>
        <w:gridCol w:w="292"/>
        <w:gridCol w:w="295"/>
        <w:gridCol w:w="109"/>
        <w:gridCol w:w="109"/>
        <w:gridCol w:w="109"/>
        <w:gridCol w:w="2617"/>
        <w:gridCol w:w="2614"/>
        <w:gridCol w:w="3727"/>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kodiakai-q2202663026xearni.htm">
              <w:r>
                <w:rPr>
                  <w:rStyle w:val="InternetLink"/>
                  <w:rFonts w:ascii="Times New Roman;serif" w:hAnsi="Times New Roman;serif"/>
                  <w:b w:val="false"/>
                  <w:color w:val="000080"/>
                  <w:sz w:val="20"/>
                  <w:u w:val="single"/>
                </w:rPr>
                <w:t xml:space="preserve">Press release dated </w:t>
              </w:r>
            </w:hyperlink>
            <w:hyperlink w:anchor="kodiakai-q2202663026xearni.htm">
              <w:r>
                <w:rPr>
                  <w:rStyle w:val="InternetLink"/>
                  <w:rFonts w:ascii="Times New Roman;serif" w:hAnsi="Times New Roman;serif"/>
                  <w:b w:val="false"/>
                  <w:color w:val="000080"/>
                  <w:sz w:val="20"/>
                  <w:u w:val="single"/>
                </w:rPr>
                <w:t>August</w:t>
              </w:r>
            </w:hyperlink>
            <w:hyperlink w:anchor="kodiakai-q2202663026xearni.htm">
              <w:r>
                <w:rPr>
                  <w:rStyle w:val="InternetLink"/>
                  <w:rFonts w:ascii="Times New Roman;serif" w:hAnsi="Times New Roman;serif"/>
                  <w:b w:val="false"/>
                  <w:color w:val="000080"/>
                  <w:sz w:val="20"/>
                  <w:u w:val="single"/>
                </w:rPr>
                <w:t xml:space="preserve"> </w:t>
              </w:r>
            </w:hyperlink>
            <w:hyperlink w:anchor="kodiakai-q2202663026xearni.htm">
              <w:r>
                <w:rPr>
                  <w:rStyle w:val="InternetLink"/>
                  <w:rFonts w:ascii="Times New Roman;serif" w:hAnsi="Times New Roman;serif"/>
                  <w:b w:val="false"/>
                  <w:color w:val="000080"/>
                  <w:sz w:val="20"/>
                  <w:u w:val="single"/>
                </w:rPr>
                <w:t>6</w:t>
              </w:r>
            </w:hyperlink>
            <w:hyperlink w:anchor="kodiakai-q2202663026xearni.htm">
              <w:r>
                <w:rPr>
                  <w:rStyle w:val="InternetLink"/>
                  <w:rFonts w:ascii="Times New Roman;serif" w:hAnsi="Times New Roman;serif"/>
                  <w:b w:val="false"/>
                  <w:color w:val="000080"/>
                  <w:sz w:val="20"/>
                  <w:u w:val="single"/>
                </w:rPr>
                <w:t>, 2026</w:t>
              </w:r>
            </w:hyperlink>
            <w:hyperlink w:anchor="kodiakai-q2202663026xearni.htm">
              <w:r>
                <w:rPr>
                  <w:rStyle w:val="InternetLink"/>
                  <w:rFonts w:ascii="Times New Roman;serif" w:hAnsi="Times New Roman;serif"/>
                  <w:b w:val="false"/>
                  <w:color w:val="000080"/>
                  <w:sz w:val="20"/>
                  <w:u w:val="single"/>
                </w:rPr>
                <w:t xml:space="preserve">, announcing Kodiak AI, Inc.'s financial results for the </w:t>
              </w:r>
            </w:hyperlink>
            <w:hyperlink w:anchor="kodiakai-q2202663026xearni.htm">
              <w:r>
                <w:rPr>
                  <w:rStyle w:val="InternetLink"/>
                  <w:rFonts w:ascii="Times New Roman;serif" w:hAnsi="Times New Roman;serif"/>
                  <w:b w:val="false"/>
                  <w:color w:val="000080"/>
                  <w:sz w:val="20"/>
                  <w:u w:val="single"/>
                </w:rPr>
                <w:t>period</w:t>
              </w:r>
            </w:hyperlink>
            <w:hyperlink w:anchor="kodiakai-q2202663026xearni.htm">
              <w:r>
                <w:rPr>
                  <w:rStyle w:val="InternetLink"/>
                  <w:rFonts w:ascii="Times New Roman;serif" w:hAnsi="Times New Roman;serif"/>
                  <w:b w:val="false"/>
                  <w:color w:val="000080"/>
                  <w:sz w:val="20"/>
                  <w:u w:val="single"/>
                </w:rPr>
                <w:t xml:space="preserve"> ended</w:t>
              </w:r>
            </w:hyperlink>
            <w:hyperlink w:anchor="kodiakai-q2202663026xearni.htm">
              <w:r>
                <w:rPr>
                  <w:rStyle w:val="InternetLink"/>
                  <w:rFonts w:ascii="Times New Roman;serif" w:hAnsi="Times New Roman;serif"/>
                  <w:b w:val="false"/>
                  <w:color w:val="000080"/>
                  <w:sz w:val="20"/>
                  <w:u w:val="single"/>
                </w:rPr>
                <w:t xml:space="preserve"> </w:t>
              </w:r>
            </w:hyperlink>
            <w:hyperlink w:anchor="kodiakai-q2202663026xearni.htm">
              <w:r>
                <w:rPr>
                  <w:rStyle w:val="InternetLink"/>
                  <w:rFonts w:ascii="Times New Roman;serif" w:hAnsi="Times New Roman;serif"/>
                  <w:b w:val="false"/>
                  <w:color w:val="000080"/>
                  <w:sz w:val="20"/>
                  <w:u w:val="single"/>
                </w:rPr>
                <w:t>June 30</w:t>
              </w:r>
            </w:hyperlink>
            <w:hyperlink w:anchor="kodiakai-q2202663026xearni.htm">
              <w:r>
                <w:rPr>
                  <w:rStyle w:val="InternetLink"/>
                  <w:rFonts w:ascii="Times New Roman;serif" w:hAnsi="Times New Roman;serif"/>
                  <w:b w:val="false"/>
                  <w:color w:val="000080"/>
                  <w:sz w:val="20"/>
                  <w:u w:val="single"/>
                </w:rPr>
                <w:t>, 2026.</w:t>
              </w:r>
            </w:hyperlink>
          </w:p>
        </w:tc>
      </w:tr>
      <w:tr>
        <w:trPr/>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ind w:left="0" w:right="0" w:hanging="20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997"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272"/>
        <w:gridCol w:w="272"/>
        <w:gridCol w:w="272"/>
        <w:gridCol w:w="653"/>
        <w:gridCol w:w="653"/>
        <w:gridCol w:w="658"/>
        <w:gridCol w:w="109"/>
        <w:gridCol w:w="109"/>
        <w:gridCol w:w="154"/>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KODIAK AI,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Surajit Datta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905000" cy="1828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18288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240" w:after="240"/>
        <w:jc w:val="center"/>
        <w:rPr>
          <w:rFonts w:ascii="Arial;sans-serif" w:hAnsi="Arial;sans-serif"/>
          <w:b/>
          <w:color w:val="000000"/>
          <w:sz w:val="28"/>
        </w:rPr>
      </w:pPr>
      <w:r>
        <w:rPr>
          <w:rFonts w:ascii="Arial;sans-serif" w:hAnsi="Arial;sans-serif"/>
          <w:b/>
          <w:color w:val="000000"/>
          <w:sz w:val="28"/>
        </w:rPr>
        <w:t>Kodiak AI Reports Second Quarter 2026 Results and Advances Toward Long-Haul Driverless Launch</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4"/>
        </w:rPr>
        <w:t xml:space="preserve">Kodiak deployed seven additional driverless trucks during Q2, bringing the customer-owned fleet to 35 vehicles at quarter-end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4"/>
        </w:rPr>
        <w:t>Kodiak Driver-powered trucks surpassed 40,000 Cumulative Hours of Paid Driverless Operations through Q2</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4"/>
        </w:rPr>
        <w:t>Kodiak introduced its seventh-generation autonomous truck platform, enhancing the performance and reliability of the Kodiak Driver</w:t>
      </w:r>
    </w:p>
    <w:p>
      <w:pPr>
        <w:pStyle w:val="TextBody"/>
        <w:bidi w:val="0"/>
        <w:spacing w:before="0" w:after="120"/>
        <w:jc w:val="left"/>
        <w:rPr/>
      </w:pPr>
      <w:r>
        <w:rPr/>
      </w:r>
    </w:p>
    <w:p>
      <w:pPr>
        <w:pStyle w:val="TextBody"/>
        <w:bidi w:val="0"/>
        <w:spacing w:lineRule="auto" w:line="268" w:before="0" w:after="0"/>
        <w:jc w:val="left"/>
        <w:rPr/>
      </w:pPr>
      <w:r>
        <w:rPr>
          <w:rFonts w:ascii="Arial;sans-serif" w:hAnsi="Arial;sans-serif"/>
          <w:b/>
          <w:color w:val="000000"/>
          <w:sz w:val="22"/>
        </w:rPr>
        <w:t xml:space="preserve">MOUNTAIN VIEW, Calif. (August 6, 2026) </w:t>
      </w:r>
      <w:r>
        <w:rPr>
          <w:color w:val="000000"/>
        </w:rPr>
        <w:t xml:space="preserve">— </w:t>
      </w:r>
      <w:r>
        <w:rPr>
          <w:rFonts w:ascii="Arial;sans-serif" w:hAnsi="Arial;sans-serif"/>
          <w:b w:val="false"/>
          <w:color w:val="000000"/>
          <w:sz w:val="24"/>
        </w:rPr>
        <w:t>Kodiak AI, Inc. (Nasdaq: KDK), a leading provider of Physical AI-powered autonomous vehicle technology, today announced results for the second quarter, which ended June 30,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During the quarter, Kodiak delivered strong operating and financial results while achieving significant commercial, technology, and partnership milestones. The Company announced the seventh-generation (Gen7) Kodiak Driver, the latest iteration of its AI-powered autonomous driving technology, and continued advancing toward driverless long-haul operations by year-end.</w:t>
      </w:r>
    </w:p>
    <w:p>
      <w:pPr>
        <w:pStyle w:val="TextBody"/>
        <w:bidi w:val="0"/>
        <w:spacing w:before="0" w:after="0"/>
        <w:jc w:val="left"/>
        <w:rPr/>
      </w:pPr>
      <w:r>
        <w:rPr/>
      </w:r>
    </w:p>
    <w:p>
      <w:pPr>
        <w:pStyle w:val="TextBody"/>
        <w:bidi w:val="0"/>
        <w:spacing w:lineRule="auto" w:line="288" w:before="0" w:after="240"/>
        <w:jc w:val="left"/>
        <w:rPr>
          <w:color w:val="000000"/>
        </w:rPr>
      </w:pPr>
      <w:r>
        <w:rPr>
          <w:color w:val="000000"/>
        </w:rPr>
        <w:t>“</w:t>
      </w:r>
      <w:r>
        <w:rPr>
          <w:rFonts w:ascii="Arial;sans-serif" w:hAnsi="Arial;sans-serif"/>
          <w:b w:val="false"/>
          <w:color w:val="000000"/>
          <w:sz w:val="24"/>
        </w:rPr>
        <w:t>In the second quarter, we delivered on what matters most: commercial validation at scale,” said Don Burnette, Founder and Chief Executive Officer of Kodiak. “We launched our seventh-generation autonomous platform and continued our march toward driverless long-haul operations by year-end. Every deployment, every driverless mile, and every product improvement strengthens the foundation for Kodiak's next phase of growth.”</w:t>
      </w: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Kodiak’s Seventh Generation Driverless Platform</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 xml:space="preserve">Kodiak’s Gen7 system is built to achieve higher efficiency, modularity, reliability, serviceability, and practicality for commercial fleets. The technology highlights include: </w:t>
      </w:r>
    </w:p>
    <w:p>
      <w:pPr>
        <w:pStyle w:val="TextBody"/>
        <w:bidi w:val="0"/>
        <w:spacing w:before="0" w:after="24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A more compact design that simplifies integration, enhances reliability, and supports a broader range of vehicle configurations, including lower-cost day cab configurations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Nearly 50% more compute power than Gen6, providing more power to support ongoing software advancements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Greater reliability, with stress testing indicating that Gen7 SensorPods and compute enclosures are expected to have nearly 50% greater operational lifetimes than those of prior generations</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These improvements reflect Kodiak’s continued focus on building technology that maximizes reliability and addresses real customer needs.</w:t>
      </w: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 xml:space="preserve">Second Quarter Results and Business Highlights: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Deployed seven additional driverless trucks, for a total of 35 Customer-Owned Driverless Vehicles as of the end of Q2</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Surpassed 40,000 Cumulative Hours of Paid Driverless Operations through Q2, representing a 71% increase from the end of Q1</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 xml:space="preserve">Delivered more than 300,000 tons of freight in Q2 alone </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Exceeded 20,000 Cumulative Loads Delivered as of the end of Q2, representing approximately 32% growth from the end of Q1</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Made significant progress toward targeted long-haul driverless launch by the end of the year, increasing Autonomy Readiness Measure to 91% as of July</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Accelerated the use of Kodiak’s revolutionary AI-powered BreakPoint technology, which can now execute over one million simulations per hour, running on a minimal compute budget of around a tenth of a penny per simulation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Expanded driverless truck deployment to cover a second simultaneous load-out point along Atlas's 42-mile Dune Express sand conveyor system, supporting geographic expansion across the Permian Basin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Kicking off first international pilot for West Fraser in Canada, one of the world’s largest wood products companies</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Selected for Phase II of the Defense Innovation Unit’s Robotic Operation for Autonomous Delivery and Sustainment (ROADS) demonstration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Q2 Revenue of $3.5 million, representing 91% growth quarter-over-quarter</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Q2 Net Cash used in operating activities of $34.1 million</w:t>
      </w: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Q2 Free Cash Flow (Non-GAAP) of negative $38.1 million</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Ended Q2 with $151.1 million in Cash and Cash Equivalents and Marketable Securities</w:t>
      </w:r>
    </w:p>
    <w:p>
      <w:pPr>
        <w:pStyle w:val="TextBody"/>
        <w:bidi w:val="0"/>
        <w:spacing w:lineRule="auto" w:line="288" w:before="0" w:after="240"/>
        <w:jc w:val="left"/>
        <w:rPr>
          <w:color w:val="000000"/>
        </w:rPr>
      </w:pPr>
      <w:r>
        <w:rPr>
          <w:color w:val="000000"/>
        </w:rPr>
        <w:t>“</w:t>
      </w:r>
      <w:r>
        <w:rPr>
          <w:rFonts w:ascii="Arial;sans-serif" w:hAnsi="Arial;sans-serif"/>
          <w:b w:val="false"/>
          <w:color w:val="000000"/>
          <w:sz w:val="24"/>
        </w:rPr>
        <w:t>We delivered another strong quarter of revenue, driven by expanded driverless deployments, growth in our recurring Driver-as-a-Service business, and disciplined financial execution,” said Surajit Datta, Chief Financial Officer of Kodiak. “Our results reflect continued momentum in commercializing the Kodiak Driver and reinforce our confidence in our long-term growth opportunity, our ability to scale customer deployments, and our disciplined approach to executing our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Upcoming Conferences</w:t>
      </w:r>
    </w:p>
    <w:p>
      <w:pPr>
        <w:pStyle w:val="TextBody"/>
        <w:bidi w:val="0"/>
        <w:spacing w:lineRule="auto" w:line="268" w:before="0" w:after="240"/>
        <w:jc w:val="left"/>
        <w:rPr>
          <w:rFonts w:ascii="Arial;sans-serif" w:hAnsi="Arial;sans-serif"/>
          <w:b w:val="false"/>
          <w:color w:val="000000"/>
          <w:sz w:val="24"/>
        </w:rPr>
      </w:pPr>
      <w:r>
        <w:rPr>
          <w:rFonts w:ascii="Arial;sans-serif" w:hAnsi="Arial;sans-serif"/>
          <w:b w:val="false"/>
          <w:color w:val="000000"/>
          <w:sz w:val="24"/>
        </w:rPr>
        <w:t xml:space="preserve">Management will present at the following investor conferences: </w:t>
      </w:r>
    </w:p>
    <w:p>
      <w:pPr>
        <w:pStyle w:val="TextBody"/>
        <w:bidi w:val="0"/>
        <w:spacing w:lineRule="auto" w:line="268" w:before="0" w:after="120"/>
        <w:ind w:left="0" w:right="0" w:hanging="360"/>
        <w:jc w:val="left"/>
        <w:rPr/>
      </w:pPr>
      <w:r>
        <w:rPr>
          <w:color w:val="000000"/>
        </w:rPr>
        <w:t>•</w:t>
      </w:r>
      <w:r>
        <w:rPr>
          <w:rFonts w:ascii="Arial;sans-serif" w:hAnsi="Arial;sans-serif"/>
          <w:b w:val="false"/>
          <w:color w:val="000000"/>
          <w:sz w:val="24"/>
        </w:rPr>
        <w:t xml:space="preserve">Deutsche Bank 2026 Chicago Industrials Summit on August 11, 2026 at 2 p.m. CT (12 p.m. PT) </w:t>
      </w:r>
    </w:p>
    <w:p>
      <w:pPr>
        <w:pStyle w:val="TextBody"/>
        <w:bidi w:val="0"/>
        <w:spacing w:lineRule="auto" w:line="268" w:before="0" w:after="120"/>
        <w:ind w:left="0" w:right="0" w:hanging="360"/>
        <w:jc w:val="left"/>
        <w:rPr/>
      </w:pPr>
      <w:r>
        <w:rPr>
          <w:color w:val="000000"/>
        </w:rPr>
        <w:t>•</w:t>
      </w:r>
      <w:r>
        <w:rPr>
          <w:rFonts w:ascii="Arial;sans-serif" w:hAnsi="Arial;sans-serif"/>
          <w:b w:val="false"/>
          <w:color w:val="000000"/>
          <w:sz w:val="24"/>
        </w:rPr>
        <w:t>J.P. Morgan Auto Conference on August 12, 2026 at 1:40 p.m. ET (10:40 a.m. PT)</w:t>
      </w:r>
    </w:p>
    <w:p>
      <w:pPr>
        <w:pStyle w:val="TextBody"/>
        <w:bidi w:val="0"/>
        <w:spacing w:lineRule="auto" w:line="268" w:before="0" w:after="120"/>
        <w:ind w:left="0" w:right="0" w:hanging="360"/>
        <w:jc w:val="left"/>
        <w:rPr/>
      </w:pPr>
      <w:r>
        <w:rPr>
          <w:color w:val="000000"/>
        </w:rPr>
        <w:t>•</w:t>
      </w:r>
      <w:r>
        <w:rPr>
          <w:rFonts w:ascii="Arial;sans-serif" w:hAnsi="Arial;sans-serif"/>
          <w:b w:val="false"/>
          <w:color w:val="000000"/>
          <w:sz w:val="24"/>
        </w:rPr>
        <w:t>Evercore 9th Annual AI Forum on September 29, 2026 at 9:40 a.m. ET (12:40 p.m. PT)</w:t>
      </w:r>
    </w:p>
    <w:p>
      <w:pPr>
        <w:pStyle w:val="TextBody"/>
        <w:bidi w:val="0"/>
        <w:spacing w:lineRule="auto" w:line="288" w:before="0" w:after="240"/>
        <w:jc w:val="left"/>
        <w:rPr/>
      </w:pPr>
      <w:r>
        <w:rPr>
          <w:rFonts w:ascii="Arial;sans-serif" w:hAnsi="Arial;sans-serif"/>
          <w:b w:val="false"/>
          <w:color w:val="000000"/>
          <w:sz w:val="24"/>
        </w:rPr>
        <w:t xml:space="preserve">A live and archived webcast of the presentations will be available on Kodiak’s Investor Relations section of the Company’s website, </w:t>
      </w:r>
      <w:r>
        <w:rPr>
          <w:rFonts w:ascii="Arial;sans-serif" w:hAnsi="Arial;sans-serif"/>
          <w:b w:val="false"/>
          <w:color w:val="0000FF"/>
          <w:sz w:val="24"/>
        </w:rPr>
        <w:t>https://kodiak.ai/investors</w:t>
      </w:r>
      <w:r>
        <w:rPr>
          <w:rFonts w:ascii="Arial;sans-serif" w:hAnsi="Arial;sans-serif"/>
          <w:b w:val="false"/>
          <w:color w:val="000000"/>
          <w:sz w:val="24"/>
        </w:rPr>
        <w:t>.</w:t>
      </w: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Conference Call Information</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 xml:space="preserve">Management will host a conference call to discuss the second quarter results today at 5:00 p.m. ET (2:00 p.m. PT). </w:t>
      </w:r>
    </w:p>
    <w:p>
      <w:pPr>
        <w:pStyle w:val="TextBody"/>
        <w:bidi w:val="0"/>
        <w:spacing w:lineRule="auto" w:line="288" w:before="0" w:after="240"/>
        <w:jc w:val="left"/>
        <w:rPr/>
      </w:pPr>
      <w:r>
        <w:rPr>
          <w:rFonts w:ascii="Arial;sans-serif" w:hAnsi="Arial;sans-serif"/>
          <w:b w:val="false"/>
          <w:color w:val="000000"/>
          <w:sz w:val="24"/>
        </w:rPr>
        <w:t xml:space="preserve">The call may be accessed through a live audio webcast on the Investor Relations section of the Company’s website, </w:t>
      </w:r>
      <w:r>
        <w:rPr>
          <w:rFonts w:ascii="Arial;sans-serif" w:hAnsi="Arial;sans-serif"/>
          <w:b w:val="false"/>
          <w:color w:val="0000EE"/>
          <w:sz w:val="24"/>
        </w:rPr>
        <w:t>https://kodiak.ai/investors</w:t>
      </w:r>
      <w:r>
        <w:rPr>
          <w:rFonts w:ascii="Arial;sans-serif" w:hAnsi="Arial;sans-serif"/>
          <w:b w:val="false"/>
          <w:color w:val="000000"/>
          <w:sz w:val="24"/>
        </w:rPr>
        <w:t>. An audio replay will be available at the same location.</w:t>
      </w: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About Kodiak AI, Inc.</w:t>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 xml:space="preserve">Kodiak AI, Inc. was founded in 2018 and is a leading provider of AI-powered autonomous vehicle technology that is designed to help tackle some of the toughest driving jobs. Kodiak's driverless solution can help address the critical problem of safely transporting goods in the face of unprecedented supply chain challenges. Kodiak's vision is to become the trusted world leader in autonomous ground transportation. Kodiak is committed to a safer and more efficient future for all through the commercialization of driverless trucking at scale. To that end, Kodiak developed the Kodiak Driver, a virtual driver that combines advanced AI-powered software with modular and vehicle-agnostic hardware designed to help address Kodiak's customers' needs. The Kodiak Driver is not just an idea—it is commercially operating without anyone in the cab today. Kodiak serves customers in the long-haul trucking, industrial trucking, and defense industries. In 2024, Kodiak believes it achieved a historic milestone by becoming the first company to deploy customer-owned and -operated driverless trucks in commercial service. </w:t>
      </w:r>
    </w:p>
    <w:p>
      <w:pPr>
        <w:pStyle w:val="TextBody"/>
        <w:bidi w:val="0"/>
        <w:spacing w:lineRule="auto" w:line="288" w:before="0" w:after="240"/>
        <w:jc w:val="left"/>
        <w:rPr/>
      </w:pPr>
      <w:r>
        <w:rPr>
          <w:rFonts w:ascii="Arial;sans-serif" w:hAnsi="Arial;sans-serif"/>
          <w:b w:val="false"/>
          <w:color w:val="000000"/>
          <w:sz w:val="24"/>
        </w:rPr>
        <w:t xml:space="preserve">For more information about Kodiak, please visit </w:t>
      </w:r>
      <w:r>
        <w:rPr>
          <w:rFonts w:ascii="Arial;sans-serif" w:hAnsi="Arial;sans-serif"/>
          <w:b w:val="false"/>
          <w:color w:val="0000EE"/>
          <w:sz w:val="24"/>
          <w:u w:val="single"/>
        </w:rPr>
        <w:t>https://kodiak.ai/investors</w:t>
      </w:r>
      <w:r>
        <w:rPr>
          <w:rFonts w:ascii="Arial;sans-serif" w:hAnsi="Arial;sans-serif"/>
          <w:b w:val="false"/>
          <w:color w:val="000000"/>
          <w:sz w:val="24"/>
        </w:rPr>
        <w:t xml:space="preserve">. </w:t>
      </w: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Kodiak Media Relations</w:t>
      </w:r>
    </w:p>
    <w:p>
      <w:pPr>
        <w:pStyle w:val="TextBody"/>
        <w:bidi w:val="0"/>
        <w:spacing w:lineRule="auto" w:line="288" w:before="0" w:after="60"/>
        <w:jc w:val="left"/>
        <w:rPr>
          <w:rFonts w:ascii="Arial;sans-serif" w:hAnsi="Arial;sans-serif"/>
          <w:b w:val="false"/>
          <w:color w:val="000000"/>
          <w:sz w:val="22"/>
        </w:rPr>
      </w:pPr>
      <w:r>
        <w:rPr>
          <w:rFonts w:ascii="Arial;sans-serif" w:hAnsi="Arial;sans-serif"/>
          <w:b w:val="false"/>
          <w:color w:val="000000"/>
          <w:sz w:val="22"/>
        </w:rPr>
        <w:t>Daniel Goff</w:t>
      </w:r>
    </w:p>
    <w:p>
      <w:pPr>
        <w:pStyle w:val="TextBody"/>
        <w:bidi w:val="0"/>
        <w:spacing w:lineRule="auto" w:line="288" w:before="0" w:after="60"/>
        <w:jc w:val="left"/>
        <w:rPr>
          <w:rFonts w:ascii="Arial;sans-serif" w:hAnsi="Arial;sans-serif"/>
          <w:b w:val="false"/>
          <w:color w:val="000000"/>
          <w:sz w:val="22"/>
        </w:rPr>
      </w:pPr>
      <w:r>
        <w:rPr>
          <w:rFonts w:ascii="Arial;sans-serif" w:hAnsi="Arial;sans-serif"/>
          <w:b w:val="false"/>
          <w:color w:val="000000"/>
          <w:sz w:val="22"/>
        </w:rPr>
        <w:t>VP of External Affairs</w:t>
      </w:r>
    </w:p>
    <w:p>
      <w:pPr>
        <w:pStyle w:val="TextBody"/>
        <w:bidi w:val="0"/>
        <w:spacing w:lineRule="auto" w:line="288" w:before="0" w:after="60"/>
        <w:jc w:val="left"/>
        <w:rPr>
          <w:rFonts w:ascii="Arial;sans-serif" w:hAnsi="Arial;sans-serif"/>
          <w:b w:val="false"/>
          <w:color w:val="000000"/>
          <w:sz w:val="22"/>
        </w:rPr>
      </w:pPr>
      <w:r>
        <w:rPr>
          <w:rFonts w:ascii="Arial;sans-serif" w:hAnsi="Arial;sans-serif"/>
          <w:b w:val="false"/>
          <w:color w:val="000000"/>
          <w:sz w:val="22"/>
        </w:rPr>
        <w:t>+1 646-515-3933</w:t>
      </w:r>
    </w:p>
    <w:p>
      <w:pPr>
        <w:pStyle w:val="TextBody"/>
        <w:bidi w:val="0"/>
        <w:spacing w:lineRule="auto" w:line="288" w:before="0" w:after="300"/>
        <w:jc w:val="left"/>
        <w:rPr>
          <w:rFonts w:ascii="Arial;sans-serif" w:hAnsi="Arial;sans-serif"/>
          <w:b w:val="false"/>
          <w:color w:val="3051F2"/>
          <w:sz w:val="22"/>
          <w:u w:val="single"/>
        </w:rPr>
      </w:pPr>
      <w:r>
        <w:rPr>
          <w:rFonts w:ascii="Arial;sans-serif" w:hAnsi="Arial;sans-serif"/>
          <w:b w:val="false"/>
          <w:color w:val="3051F2"/>
          <w:sz w:val="22"/>
          <w:u w:val="single"/>
        </w:rPr>
        <w:t>dan@kodiak.ai</w:t>
      </w:r>
    </w:p>
    <w:p>
      <w:pPr>
        <w:pStyle w:val="TextBody"/>
        <w:bidi w:val="0"/>
        <w:spacing w:lineRule="auto" w:line="288" w:before="0" w:after="60"/>
        <w:jc w:val="left"/>
        <w:rPr>
          <w:rFonts w:ascii="Arial;sans-serif" w:hAnsi="Arial;sans-serif"/>
          <w:b w:val="false"/>
          <w:color w:val="000000"/>
          <w:sz w:val="22"/>
        </w:rPr>
      </w:pPr>
      <w:r>
        <w:rPr>
          <w:rFonts w:ascii="Arial;sans-serif" w:hAnsi="Arial;sans-serif"/>
          <w:b w:val="false"/>
          <w:color w:val="000000"/>
          <w:sz w:val="22"/>
        </w:rPr>
        <w:t>Stacy Morris</w:t>
      </w:r>
    </w:p>
    <w:p>
      <w:pPr>
        <w:pStyle w:val="TextBody"/>
        <w:bidi w:val="0"/>
        <w:spacing w:lineRule="auto" w:line="288" w:before="0" w:after="60"/>
        <w:jc w:val="left"/>
        <w:rPr>
          <w:rFonts w:ascii="Arial;sans-serif" w:hAnsi="Arial;sans-serif"/>
          <w:b w:val="false"/>
          <w:color w:val="000000"/>
          <w:sz w:val="22"/>
        </w:rPr>
      </w:pPr>
      <w:r>
        <w:rPr>
          <w:rFonts w:ascii="Arial;sans-serif" w:hAnsi="Arial;sans-serif"/>
          <w:b w:val="false"/>
          <w:color w:val="000000"/>
          <w:sz w:val="22"/>
        </w:rPr>
        <w:t>Futurista Communications for Kodiak</w:t>
      </w:r>
    </w:p>
    <w:p>
      <w:pPr>
        <w:pStyle w:val="TextBody"/>
        <w:bidi w:val="0"/>
        <w:spacing w:lineRule="auto" w:line="288" w:before="0" w:after="60"/>
        <w:jc w:val="left"/>
        <w:rPr>
          <w:rFonts w:ascii="Arial;sans-serif" w:hAnsi="Arial;sans-serif"/>
          <w:b w:val="false"/>
          <w:color w:val="000000"/>
          <w:sz w:val="22"/>
        </w:rPr>
      </w:pPr>
      <w:r>
        <w:rPr>
          <w:rFonts w:ascii="Arial;sans-serif" w:hAnsi="Arial;sans-serif"/>
          <w:b w:val="false"/>
          <w:color w:val="000000"/>
          <w:sz w:val="22"/>
        </w:rPr>
        <w:t>+1 310-415-9188</w:t>
      </w:r>
    </w:p>
    <w:p>
      <w:pPr>
        <w:pStyle w:val="TextBody"/>
        <w:bidi w:val="0"/>
        <w:spacing w:lineRule="auto" w:line="288" w:before="0" w:after="360"/>
        <w:jc w:val="left"/>
        <w:rPr>
          <w:rFonts w:ascii="Arial;sans-serif" w:hAnsi="Arial;sans-serif"/>
          <w:b w:val="false"/>
          <w:color w:val="3051F2"/>
          <w:sz w:val="22"/>
          <w:u w:val="single"/>
        </w:rPr>
      </w:pPr>
      <w:r>
        <w:rPr>
          <w:rFonts w:ascii="Arial;sans-serif" w:hAnsi="Arial;sans-serif"/>
          <w:b w:val="false"/>
          <w:color w:val="3051F2"/>
          <w:sz w:val="22"/>
          <w:u w:val="single"/>
        </w:rPr>
        <w:t>stacy.morris@futuristacommunications.com</w:t>
      </w:r>
    </w:p>
    <w:p>
      <w:pPr>
        <w:pStyle w:val="TextBody"/>
        <w:bidi w:val="0"/>
        <w:spacing w:lineRule="auto" w:line="288" w:before="0" w:after="60"/>
        <w:jc w:val="left"/>
        <w:rPr>
          <w:rFonts w:ascii="Arial;sans-serif" w:hAnsi="Arial;sans-serif"/>
          <w:b/>
          <w:color w:val="000000"/>
          <w:sz w:val="22"/>
        </w:rPr>
      </w:pPr>
      <w:r>
        <w:rPr>
          <w:rFonts w:ascii="Arial;sans-serif" w:hAnsi="Arial;sans-serif"/>
          <w:b/>
          <w:color w:val="000000"/>
          <w:sz w:val="22"/>
        </w:rPr>
        <w:t>Kodiak Investor Relations</w:t>
      </w:r>
    </w:p>
    <w:p>
      <w:pPr>
        <w:pStyle w:val="TextBody"/>
        <w:bidi w:val="0"/>
        <w:spacing w:lineRule="auto" w:line="288" w:before="0" w:after="60"/>
        <w:jc w:val="left"/>
        <w:rPr>
          <w:rFonts w:ascii="Arial;sans-serif" w:hAnsi="Arial;sans-serif"/>
          <w:b w:val="false"/>
          <w:color w:val="000000"/>
          <w:sz w:val="22"/>
        </w:rPr>
      </w:pPr>
      <w:r>
        <w:rPr>
          <w:rFonts w:ascii="Arial;sans-serif" w:hAnsi="Arial;sans-serif"/>
          <w:b w:val="false"/>
          <w:color w:val="000000"/>
          <w:sz w:val="22"/>
        </w:rPr>
        <w:t>Steve Philistin</w:t>
      </w:r>
    </w:p>
    <w:p>
      <w:pPr>
        <w:pStyle w:val="TextBody"/>
        <w:bidi w:val="0"/>
        <w:spacing w:lineRule="auto" w:line="288" w:before="0" w:after="60"/>
        <w:jc w:val="left"/>
        <w:rPr>
          <w:rFonts w:ascii="Arial;sans-serif" w:hAnsi="Arial;sans-serif"/>
          <w:b w:val="false"/>
          <w:color w:val="000000"/>
          <w:sz w:val="22"/>
        </w:rPr>
      </w:pPr>
      <w:r>
        <w:rPr>
          <w:rFonts w:ascii="Arial;sans-serif" w:hAnsi="Arial;sans-serif"/>
          <w:b w:val="false"/>
          <w:color w:val="000000"/>
          <w:sz w:val="22"/>
        </w:rPr>
        <w:t>Senior Investor Relations Manager</w:t>
      </w:r>
    </w:p>
    <w:p>
      <w:pPr>
        <w:pStyle w:val="TextBody"/>
        <w:bidi w:val="0"/>
        <w:spacing w:lineRule="auto" w:line="288" w:before="0" w:after="240"/>
        <w:jc w:val="left"/>
        <w:rPr>
          <w:rFonts w:ascii="Arial;sans-serif" w:hAnsi="Arial;sans-serif"/>
          <w:b w:val="false"/>
          <w:color w:val="3051F2"/>
          <w:sz w:val="22"/>
          <w:u w:val="single"/>
        </w:rPr>
      </w:pPr>
      <w:r>
        <w:rPr>
          <w:rFonts w:ascii="Arial;sans-serif" w:hAnsi="Arial;sans-serif"/>
          <w:b w:val="false"/>
          <w:color w:val="3051F2"/>
          <w:sz w:val="22"/>
          <w:u w:val="single"/>
        </w:rPr>
        <w:t>investors@kodiak.ai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left"/>
        <w:rPr>
          <w:rFonts w:ascii="Arial;sans-serif" w:hAnsi="Arial;sans-serif"/>
          <w:b/>
          <w:color w:val="000000"/>
          <w:sz w:val="22"/>
        </w:rPr>
      </w:pPr>
      <w:r>
        <w:rPr>
          <w:rFonts w:ascii="Arial;sans-serif" w:hAnsi="Arial;sans-serif"/>
          <w:b/>
          <w:color w:val="000000"/>
          <w:sz w:val="22"/>
        </w:rPr>
        <w:t>Forward Looking Statements</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This press release includes “forward-looking statements” within the meaning of Section 27A of the Securities Act of 1933, Section 21E of the Securities Exchange Act of 1934, and the “safe harbor” provisions of the United States Private Securities Litigation Reform Act of 1995, each as amended, including Kodiak’s expectations, hopes, beliefs, intentions or strategies regarding the future. Forward-looking statements may be identified by the use of words such as “anticipate,” “believe,” “continue,” “could,” “estimate,” “forecast,” “intend,” “expect,” “may,” “plan,” “potential,” “project,” “seek,” “should,” “will,” “would”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Kodiak’s operational and product roadmap, its relationships with partners and suppliers, and its ability to produce and deploy the Kodiak Driver at scale; expectations regarding Kodiak’s expansion plans and opportunities, including its addressable markets and the timing of launching driverless trucks for long-haul highways operations; expectations regarding the benefits of Kodiak’s Gen7 platform; Kodiak’s expected liquidity; and other expectations regarding Kodiak’s future business and financial performance, such as Kodiak’s approach to operational and financial discipline, its future cash flows, and path to profitability and free cash flow. These statements are based on various assumptions, whether or not identified in this press release, and on the current expectations of Kodiak’s management and are not predictions of actual performance. These forward-looking statements are not intended to serve as, and must not be relied upon by any investors as, a guarantee, an assurance, a prediction or a definitive statement of fact or probability. Actual events and circumstances are difficult or impossible to predict and will differ from assumptions. Many actual events and circumstances are beyond the control of Kodiak. These forward-looking statements are subject to a number of risks and uncertainties, including changes in business, market, financial, political and legal conditions; the rapid evolution of autonomous vehicle technology and flaws or errors in Kodiak’s solutions or flaws in or misuse of autonomous vehicle technology in general; risks related to the rollout of Kodiak’s business and the timing of expected business milestones; the effects of competition on Kodiak’s business; supply shortages in the materials necessary for the production of the Kodiak Driver; risks related to working with third-party manufacturers for key components of the Kodiak Driver; risks related to the retrofitting of Kodiak’s vehicles by third parties; the termination or suspension of any of Kodiak’s contracts or the reduction in counterparty spending; delays in Kodiak’s operational roadmap with key partners and customers; and Kodiak’s ability to raise capital in the future. Additional information concerning these and other factors that may impact such forward-looking statements can be found in filings by Kodiak with the Securities and Exchange Commission (the “SEC”), which are available on the SEC’s website at www.sec.gov. If any of these risks materialize or any assumptions prove incorrect, actual results could differ materially from the results implied by these forward-looking statements. There may be additional risks that Kodiak may not presently know or that Kodiak currently believes are immaterial that could also cause actual results to differ from those contained in the forward-looking statements. In addition, forward-looking statements reflect Kodiak’s expectations, plans or forecasts of future events and views as of the date of this press release. These forward-looking statements should not be relied upon as representing Kodiak’s assessments as of any date subsequent to the date of this press release. Accordingly, undue reliance should not be placed upon the forward-looking statements. Except as required by law, Kodiak specifically disclaims any obligation to update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left"/>
        <w:rPr>
          <w:rFonts w:ascii="Arial;sans-serif" w:hAnsi="Arial;sans-serif"/>
          <w:b/>
          <w:color w:val="000000"/>
          <w:sz w:val="22"/>
        </w:rPr>
      </w:pPr>
      <w:r>
        <w:rPr>
          <w:rFonts w:ascii="Arial;sans-serif" w:hAnsi="Arial;sans-serif"/>
          <w:b/>
          <w:color w:val="000000"/>
          <w:sz w:val="22"/>
        </w:rPr>
        <w:t>Non-GAAP Financial Measures</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In addition to our financial results determined in accordance with U.S. generally accepted accounting principles (“GAAP”), we consider certain non-GAAP measures, including the following, which we use to evaluate our 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This press release and our earnings call may also include references to forward-looking free cash flow, a non-GAAP financial measure. To the extent that such forward-looking financial measures are provided, they are presented on a non-GAAP basis without a reconciliation to the most directly comparable GAAP measure due to the inherent difficulty in forecasting and quantifying certain amounts that are necessary for such reconciliation.</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Non-GAAP Operating Expenses and Non-GAAP Loss from Operations</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We define these non-GAAP financial measures as their respective GAAP measures, each excluding stock-based compensation expense. We use these non-GAAP financial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variety of equity awards used by other companies and the varying methodologies and assumptions used.</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Free Cash Flow</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We define free cash flow as net cash used in operating activities, which is the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 business and pursue potential strategic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360"/>
        <w:jc w:val="center"/>
        <w:rPr>
          <w:rFonts w:ascii="Arial;sans-serif" w:hAnsi="Arial;sans-serif"/>
          <w:b/>
          <w:color w:val="000000"/>
          <w:sz w:val="20"/>
        </w:rPr>
      </w:pPr>
      <w:r>
        <w:rPr>
          <w:rFonts w:ascii="Arial;sans-serif" w:hAnsi="Arial;sans-serif"/>
          <w:b/>
          <w:color w:val="000000"/>
          <w:sz w:val="20"/>
        </w:rPr>
        <w:t>(In thousands, except par values; unaudited) </w:t>
      </w:r>
    </w:p>
    <w:tbl>
      <w:tblPr>
        <w:tblW w:w="9662" w:type="dxa"/>
        <w:jc w:val="left"/>
        <w:tblInd w:w="0" w:type="dxa"/>
        <w:tblLayout w:type="fixed"/>
        <w:tblCellMar>
          <w:top w:w="28" w:type="dxa"/>
          <w:left w:w="28" w:type="dxa"/>
          <w:bottom w:w="28" w:type="dxa"/>
          <w:right w:w="28" w:type="dxa"/>
        </w:tblCellMar>
      </w:tblPr>
      <w:tblGrid>
        <w:gridCol w:w="2522"/>
        <w:gridCol w:w="2215"/>
        <w:gridCol w:w="2237"/>
        <w:gridCol w:w="211"/>
        <w:gridCol w:w="826"/>
        <w:gridCol w:w="109"/>
        <w:gridCol w:w="109"/>
        <w:gridCol w:w="109"/>
        <w:gridCol w:w="109"/>
        <w:gridCol w:w="215"/>
        <w:gridCol w:w="843"/>
        <w:gridCol w:w="157"/>
      </w:tblGrid>
      <w:tr>
        <w:trPr/>
        <w:tc>
          <w:tcPr>
            <w:tcW w:w="2522"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50,761 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126,012 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159,407 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redeemable convertible preferred stock and stockholders’ deficit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Debt,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Second lien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26,662 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Debt,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29,878 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219,274 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Commitments and contingencies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Redeemable convertible preferred stock</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Series A cumulative redeemable convertible preferred stock, par value $0.0001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223,185 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Stockholders’ deficit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stock, $0.0001 par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570,578 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(814,702)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(853,669)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stockholders’ deficit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(188,918)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(283,052)</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redeemable convertible preferred stock and stockholders’ deficit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194,384 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159,407 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Condensed Consolidated Statements of Operations and Comprehensive (Loss) Income</w:t>
      </w:r>
    </w:p>
    <w:p>
      <w:pPr>
        <w:pStyle w:val="TextBody"/>
        <w:bidi w:val="0"/>
        <w:spacing w:lineRule="auto" w:line="288" w:before="0" w:after="240"/>
        <w:jc w:val="center"/>
        <w:rPr/>
      </w:pPr>
      <w:r>
        <w:rPr>
          <w:rFonts w:ascii="Arial;sans-serif" w:hAnsi="Arial;sans-serif"/>
          <w:b/>
          <w:color w:val="000000"/>
          <w:sz w:val="20"/>
        </w:rPr>
        <w:t>(In thousands, except per share amounts; 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631"/>
        <w:gridCol w:w="897"/>
        <w:gridCol w:w="902"/>
        <w:gridCol w:w="259"/>
        <w:gridCol w:w="920"/>
        <w:gridCol w:w="133"/>
        <w:gridCol w:w="133"/>
        <w:gridCol w:w="133"/>
        <w:gridCol w:w="133"/>
        <w:gridCol w:w="259"/>
        <w:gridCol w:w="1049"/>
        <w:gridCol w:w="133"/>
        <w:gridCol w:w="133"/>
        <w:gridCol w:w="133"/>
        <w:gridCol w:w="133"/>
        <w:gridCol w:w="259"/>
        <w:gridCol w:w="920"/>
        <w:gridCol w:w="133"/>
        <w:gridCol w:w="133"/>
        <w:gridCol w:w="133"/>
        <w:gridCol w:w="133"/>
        <w:gridCol w:w="259"/>
        <w:gridCol w:w="1049"/>
        <w:gridCol w:w="205"/>
      </w:tblGrid>
      <w:tr>
        <w:trPr/>
        <w:tc>
          <w:tcPr>
            <w:tcW w:w="16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Revenues</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5,329 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1,974 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40,252 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22,352 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24,859 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12,286 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Truck and freight operations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18,954 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9,475 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47,176 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25,850 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86,857 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45,920 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Loss from operations</w:t>
            </w:r>
          </w:p>
        </w:tc>
        <w:tc>
          <w:tcPr>
            <w:tcW w:w="11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(43,677)</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(25,347)</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(81,528)</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(43,946)</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 (expenses):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income and other, net</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common stock warrants</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58,280 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122,938 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second lien loans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simple agreements for future equity</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(84,173)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(192,548)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redeemable convertible preferred stock warrant liabilities</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other income (expenses), net</w:t>
            </w:r>
          </w:p>
        </w:tc>
        <w:tc>
          <w:tcPr>
            <w:tcW w:w="11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56,168 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(88,376)</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120,505 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(197,961)</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income before income taxes</w:t>
            </w:r>
          </w:p>
        </w:tc>
        <w:tc>
          <w:tcPr>
            <w:tcW w:w="11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12,491 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(113,723)</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38,977 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(241,907)</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(loss) income</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12,477 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(113,726)</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38,967 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(241,911)</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losses on marketable securities, net of tax</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Comprehensive (loss) income </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12,361 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(113,726)</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38,827 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(241,911)</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(113,726)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(241,911)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Adjustments to net (loss) income attributable to common stockholders</w:t>
            </w:r>
            <w:r>
              <w:rPr>
                <w:rFonts w:ascii="Arial;sans-serif" w:hAnsi="Arial;sans-serif"/>
                <w:b w:val="false"/>
                <w:color w:val="000000"/>
                <w:sz w:val="12"/>
              </w:rPr>
              <w:t>1</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(50,152)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(54,433)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loss attributable to common stockholders</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(37,675)</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(113,726)</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(15,466)</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(241,911)</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loss per common share, basic</w:t>
            </w:r>
            <w:r>
              <w:rPr>
                <w:rFonts w:ascii="Arial;sans-serif" w:hAnsi="Arial;sans-serif"/>
                <w:b w:val="false"/>
                <w:color w:val="000000"/>
                <w:sz w:val="12"/>
              </w:rPr>
              <w:t>1</w:t>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Net loss per common share, diluted</w:t>
            </w:r>
            <w:r>
              <w:rPr>
                <w:rFonts w:ascii="Arial;sans-serif" w:hAnsi="Arial;sans-serif"/>
                <w:b w:val="false"/>
                <w:color w:val="000000"/>
                <w:sz w:val="12"/>
              </w:rPr>
              <w:t>1</w:t>
            </w:r>
          </w:p>
        </w:tc>
        <w:tc>
          <w:tcPr>
            <w:tcW w:w="2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(0.50)</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(0.73)</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w:t>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 basic</w:t>
            </w:r>
          </w:p>
        </w:tc>
        <w:tc>
          <w:tcPr>
            <w:tcW w:w="117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187,241 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60,197 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181,825 </w:t>
            </w:r>
          </w:p>
        </w:tc>
        <w:tc>
          <w:tcPr>
            <w:tcW w:w="13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59,720 </w:t>
            </w:r>
          </w:p>
        </w:tc>
        <w:tc>
          <w:tcPr>
            <w:tcW w:w="20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Weighted-average common shares outstanding, diluted</w:t>
            </w:r>
          </w:p>
        </w:tc>
        <w:tc>
          <w:tcPr>
            <w:tcW w:w="117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193,203 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60,197 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188,886 </w:t>
            </w:r>
          </w:p>
        </w:tc>
        <w:tc>
          <w:tcPr>
            <w:tcW w:w="13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59,720 </w:t>
            </w:r>
          </w:p>
        </w:tc>
        <w:tc>
          <w:tcPr>
            <w:tcW w:w="20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___________________________</w:t>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Net loss per common share for the three and six months ended June 30, 2026 reflects the deduction of cumulative dividends and a $46.1 million non-cash deemed dividend associated with the Series A cumulative redeemable convertible preferred stock. The deemed dividend resulted from a conversion price adjustment in May 2026. Net loss attributable to common stockholders used in calculating basic net loss per share was $37.7 million and $15.5 million for the three and six months ended June 30, 2026, respectively. Net loss attributable to common stockholders used in calculating diluted net loss per share reflects the additional deduction of $58.3 million and $122.9 million in fair value gains on liability-classified warrants, resulting in a net loss of $96.0 million and $138.4 million for the three and six months ended June 30, 2026,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2754"/>
        <w:gridCol w:w="2405"/>
        <w:gridCol w:w="2412"/>
        <w:gridCol w:w="211"/>
        <w:gridCol w:w="721"/>
        <w:gridCol w:w="109"/>
        <w:gridCol w:w="109"/>
        <w:gridCol w:w="109"/>
        <w:gridCol w:w="109"/>
        <w:gridCol w:w="211"/>
        <w:gridCol w:w="899"/>
        <w:gridCol w:w="156"/>
      </w:tblGrid>
      <w:tr>
        <w:trPr/>
        <w:tc>
          <w:tcPr>
            <w:tcW w:w="2754"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(241,911)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Accretion of discount on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costs allocated to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second lien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simple agreements for future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192,548 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redeemable convertible preferred stock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Non-cash 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loss on disposal of 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(63,619)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(36,862)</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sales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Repayment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issuance of second lien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issuance of simple agreements for future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issuance of common stock and warrants in connection with a private placement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Proceeds from exercise of common stock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Payments of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102,348 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45,638 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 and restricted cash</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 and restricted cash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48,234 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21,699 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Reconciliation of GAAP to Non-GAAP Financial Information</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 thousands; unaudited) </w:t>
      </w:r>
    </w:p>
    <w:tbl>
      <w:tblPr>
        <w:tblW w:w="10064" w:type="dxa"/>
        <w:jc w:val="center"/>
        <w:tblInd w:w="0" w:type="dxa"/>
        <w:tblLayout w:type="fixed"/>
        <w:tblCellMar>
          <w:top w:w="28" w:type="dxa"/>
          <w:left w:w="28" w:type="dxa"/>
          <w:bottom w:w="28" w:type="dxa"/>
          <w:right w:w="28" w:type="dxa"/>
        </w:tblCellMar>
      </w:tblPr>
      <w:tblGrid>
        <w:gridCol w:w="1657"/>
        <w:gridCol w:w="1455"/>
        <w:gridCol w:w="1462"/>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Research and development expense reconciliation: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GAAP research and development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Non-GAAP research and development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General and administrative expense reconciliation: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GAAP general and administrative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Non-GAAP general and administrative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Truck and freight operations expense reconciliation: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GAAP truck and freight operations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Non-GAAP truck and freight operations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Sales and marketing expense reconciliation: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GAAP sales and marketing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Non-GAAP sales and marketing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operating expenses reconciliation:</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from operations reconciliation: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loss from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(39,055)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100" w:after="240"/>
        <w:jc w:val="center"/>
        <w:rPr>
          <w:rFonts w:ascii="Arial;sans-serif" w:hAnsi="Arial;sans-serif"/>
          <w:b/>
          <w:color w:val="000000"/>
          <w:sz w:val="20"/>
        </w:rPr>
      </w:pPr>
      <w:r>
        <w:rPr>
          <w:rFonts w:ascii="Arial;sans-serif" w:hAnsi="Arial;sans-serif"/>
          <w:b/>
          <w:color w:val="000000"/>
          <w:sz w:val="20"/>
        </w:rPr>
        <w:t>Kodiak AI, Inc.</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Selected Cash Flow Information</w:t>
      </w:r>
    </w:p>
    <w:p>
      <w:pPr>
        <w:pStyle w:val="TextBody"/>
        <w:bidi w:val="0"/>
        <w:spacing w:lineRule="auto" w:line="288" w:before="0" w:after="480"/>
        <w:jc w:val="center"/>
        <w:rPr>
          <w:rFonts w:ascii="Arial;sans-serif" w:hAnsi="Arial;sans-serif"/>
          <w:b/>
          <w:color w:val="000000"/>
          <w:sz w:val="20"/>
        </w:rPr>
      </w:pPr>
      <w:r>
        <w:rPr>
          <w:rFonts w:ascii="Arial;sans-serif" w:hAnsi="Arial;sans-serif"/>
          <w:b/>
          <w:color w:val="000000"/>
          <w:sz w:val="20"/>
        </w:rPr>
        <w:t>(In thousands; unaudited) </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Reconciliation of cash provided by operating activities to free cash flow</w:t>
      </w:r>
    </w:p>
    <w:tbl>
      <w:tblPr>
        <w:tblW w:w="9060" w:type="dxa"/>
        <w:jc w:val="center"/>
        <w:tblInd w:w="0" w:type="dxa"/>
        <w:tblLayout w:type="fixed"/>
        <w:tblCellMar>
          <w:top w:w="28" w:type="dxa"/>
          <w:left w:w="28" w:type="dxa"/>
          <w:bottom w:w="28" w:type="dxa"/>
          <w:right w:w="28" w:type="dxa"/>
        </w:tblCellMar>
      </w:tblPr>
      <w:tblGrid>
        <w:gridCol w:w="1292"/>
        <w:gridCol w:w="1137"/>
        <w:gridCol w:w="1141"/>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net 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(36,862)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3910</Words>
  <Characters>22890</Characters>
  <CharactersWithSpaces>26338</CharactersWithSpaces>
  <Paragraphs>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