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001-41691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Kodiak 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98-1592112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1049 Terra Bella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Mountain View, CA 94043</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94043-7373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209-8005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35"/>
        <w:gridCol w:w="1751"/>
        <w:gridCol w:w="1772"/>
        <w:gridCol w:w="485"/>
        <w:gridCol w:w="478"/>
        <w:gridCol w:w="480"/>
        <w:gridCol w:w="908"/>
        <w:gridCol w:w="908"/>
        <w:gridCol w:w="1288"/>
      </w:tblGrid>
      <w:tr>
        <w:trP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warrants, each exercisable for one share of common stock at an exercise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$9.28</w:t>
            </w:r>
          </w:p>
        </w:tc>
        <w:tc>
          <w:tcPr>
            <w:tcW w:w="14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KDKRW</w:t>
            </w:r>
          </w:p>
        </w:tc>
        <w:tc>
          <w:tcPr>
            <w:tcW w:w="3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November 7, 2025, the number of shares of the registrant’s common stock outstanding was 181,207,392.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09" w:type="dxa"/>
        <w:jc w:val="left"/>
        <w:tblInd w:w="0" w:type="dxa"/>
        <w:tblLayout w:type="fixed"/>
        <w:tblCellMar>
          <w:top w:w="28" w:type="dxa"/>
          <w:left w:w="28" w:type="dxa"/>
          <w:bottom w:w="28" w:type="dxa"/>
          <w:right w:w="28" w:type="dxa"/>
        </w:tblCellMar>
      </w:tblPr>
      <w:tblGrid>
        <w:gridCol w:w="304"/>
        <w:gridCol w:w="266"/>
        <w:gridCol w:w="269"/>
        <w:gridCol w:w="2918"/>
        <w:gridCol w:w="2918"/>
        <w:gridCol w:w="2923"/>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0">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3">
              <w:r>
                <w:rPr>
                  <w:rStyle w:val="InternetLink"/>
                  <w:rFonts w:ascii="Times New Roman;serif" w:hAnsi="Times New Roman;serif"/>
                  <w:b w:val="false"/>
                  <w:strike w:val="false"/>
                  <w:dstrike w:val="false"/>
                  <w:color w:val="000000"/>
                  <w:sz w:val="20"/>
                  <w:u w:val="none"/>
                  <w:effect w:val="none"/>
                </w:rPr>
                <w:t>Financial Statements</w:t>
              </w:r>
            </w:hyperlink>
            <w:r>
              <w:rPr>
                <w:rFonts w:ascii="Times New Roman;serif" w:hAnsi="Times New Roman;serif"/>
                <w:b w:val="false"/>
                <w:color w:val="000000"/>
                <w:sz w:val="20"/>
              </w:rPr>
              <w:t xml:space="preserve"> (unaudited):</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6">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6">
              <w:r>
                <w:rPr>
                  <w:rStyle w:val="InternetLink"/>
                  <w:rFonts w:ascii="Times New Roman;serif" w:hAnsi="Times New Roman;serif"/>
                  <w:b w:val="false"/>
                  <w:strike w:val="false"/>
                  <w:dstrike w:val="false"/>
                  <w:color w:val="000000"/>
                  <w:sz w:val="20"/>
                  <w:u w:val="none"/>
                  <w:effect w:val="none"/>
                </w:rPr>
                <w:t>1</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9">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9">
              <w:r>
                <w:rPr>
                  <w:rStyle w:val="InternetLink"/>
                  <w:rFonts w:ascii="Times New Roman;serif" w:hAnsi="Times New Roman;serif"/>
                  <w:b w:val="false"/>
                  <w:strike w:val="false"/>
                  <w:dstrike w:val="false"/>
                  <w:color w:val="000000"/>
                  <w:sz w:val="20"/>
                  <w:u w:val="none"/>
                  <w:effect w:val="none"/>
                </w:rPr>
                <w:t>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775">
              <w:r>
                <w:rPr>
                  <w:rStyle w:val="InternetLink"/>
                  <w:rFonts w:ascii="Times New Roman;serif" w:hAnsi="Times New Roman;serif"/>
                  <w:b w:val="false"/>
                  <w:strike w:val="false"/>
                  <w:dstrike w:val="false"/>
                  <w:color w:val="000000"/>
                  <w:sz w:val="20"/>
                  <w:u w:val="none"/>
                  <w:effect w:val="none"/>
                </w:rPr>
                <w:t>Condensed Consolidated Statements of Redeemable Convertible Preferred Stock and Stockholders’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775">
              <w:r>
                <w:rPr>
                  <w:rStyle w:val="InternetLink"/>
                  <w:rFonts w:ascii="Times New Roman;serif" w:hAnsi="Times New Roman;serif"/>
                  <w:b w:val="false"/>
                  <w:strike w:val="false"/>
                  <w:dstrike w:val="false"/>
                  <w:color w:val="000000"/>
                  <w:sz w:val="20"/>
                  <w:u w:val="none"/>
                  <w:effect w:val="none"/>
                </w:rPr>
                <w:t>4</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25">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25">
              <w:r>
                <w:rPr>
                  <w:rStyle w:val="InternetLink"/>
                  <w:rFonts w:ascii="Times New Roman;serif" w:hAnsi="Times New Roman;serif"/>
                  <w:b w:val="false"/>
                  <w:strike w:val="false"/>
                  <w:dstrike w:val="false"/>
                  <w:color w:val="000000"/>
                  <w:sz w:val="20"/>
                  <w:u w:val="none"/>
                  <w:effect w:val="none"/>
                </w:rPr>
                <w:t>6</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28">
              <w:r>
                <w:rPr>
                  <w:rStyle w:val="InternetLink"/>
                  <w:rFonts w:ascii="Times New Roman;serif" w:hAnsi="Times New Roman;serif"/>
                  <w:b w:val="false"/>
                  <w:strike w:val="false"/>
                  <w:dstrike w:val="false"/>
                  <w:color w:val="000000"/>
                  <w:sz w:val="20"/>
                  <w:u w:val="none"/>
                  <w:effect w:val="non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28">
              <w:r>
                <w:rPr>
                  <w:rStyle w:val="InternetLink"/>
                  <w:rFonts w:ascii="Times New Roman;serif" w:hAnsi="Times New Roman;serif"/>
                  <w:b w:val="false"/>
                  <w:strike w:val="false"/>
                  <w:dstrike w:val="false"/>
                  <w:color w:val="000000"/>
                  <w:sz w:val="20"/>
                  <w:u w:val="none"/>
                  <w:effect w:val="none"/>
                </w:rPr>
                <w:t>7</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79">
              <w:r>
                <w:rPr>
                  <w:rStyle w:val="InternetLink"/>
                  <w:rFonts w:ascii="Times New Roman;serif" w:hAnsi="Times New Roman;serif"/>
                  <w:b w:val="false"/>
                  <w:strike w:val="false"/>
                  <w:dstrike w:val="false"/>
                  <w:color w:val="000080"/>
                  <w:sz w:val="20"/>
                  <w:u w:val="single"/>
                  <w:effect w:val="none"/>
                </w:rPr>
                <w:t>Management</w:t>
              </w:r>
            </w:hyperlink>
            <w:hyperlink w:anchor="i2a64f4d324b2497ab69c7bbff57425db_775">
              <w:r>
                <w:rPr>
                  <w:rStyle w:val="InternetLink"/>
                  <w:rFonts w:ascii="Times New Roman;serif" w:hAnsi="Times New Roman;serif"/>
                  <w:b w:val="false"/>
                  <w:strike w:val="false"/>
                  <w:dstrike w:val="false"/>
                  <w:color w:val="000080"/>
                  <w:sz w:val="20"/>
                  <w:u w:val="single"/>
                  <w:effect w:val="none"/>
                </w:rPr>
                <w:t>’</w:t>
              </w:r>
            </w:hyperlink>
            <w:hyperlink w:anchor="i2a64f4d324b2497ab69c7bbff57425db_79">
              <w:r>
                <w:rPr>
                  <w:rStyle w:val="InternetLink"/>
                  <w:rFonts w:ascii="Times New Roman;serif" w:hAnsi="Times New Roman;serif"/>
                  <w:b w:val="false"/>
                  <w:strike w:val="false"/>
                  <w:dstrike w:val="false"/>
                  <w:color w:val="000080"/>
                  <w:sz w:val="20"/>
                  <w:u w:val="single"/>
                  <w:effect w:val="none"/>
                </w:rPr>
                <w: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79">
              <w:r>
                <w:rPr>
                  <w:rStyle w:val="InternetLink"/>
                  <w:rFonts w:ascii="Times New Roman;serif" w:hAnsi="Times New Roman;serif"/>
                  <w:b w:val="false"/>
                  <w:strike w:val="false"/>
                  <w:dstrike w:val="false"/>
                  <w:color w:val="000000"/>
                  <w:sz w:val="20"/>
                  <w:u w:val="none"/>
                  <w:effect w:val="none"/>
                </w:rPr>
                <w:t>29</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1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18">
              <w:r>
                <w:rPr>
                  <w:rStyle w:val="InternetLink"/>
                  <w:rFonts w:ascii="Times New Roman;serif" w:hAnsi="Times New Roman;serif"/>
                  <w:b w:val="false"/>
                  <w:strike w:val="false"/>
                  <w:dstrike w:val="false"/>
                  <w:color w:val="000000"/>
                  <w:sz w:val="20"/>
                  <w:u w:val="none"/>
                  <w:effect w:val="none"/>
                </w:rPr>
                <w:t>42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21">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21">
              <w:r>
                <w:rPr>
                  <w:rStyle w:val="InternetLink"/>
                  <w:rFonts w:ascii="Times New Roman;serif" w:hAnsi="Times New Roman;serif"/>
                  <w:b w:val="false"/>
                  <w:strike w:val="false"/>
                  <w:dstrike w:val="false"/>
                  <w:color w:val="000000"/>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24">
              <w:r>
                <w:rPr>
                  <w:rStyle w:val="InternetLink"/>
                  <w:rFonts w:ascii="Times New Roman;serif" w:hAnsi="Times New Roman;serif"/>
                  <w:b w:val="false"/>
                  <w:strike w:val="false"/>
                  <w:dstrike w:val="false"/>
                  <w:color w:val="000000"/>
                  <w:sz w:val="20"/>
                  <w:u w:val="none"/>
                  <w:effect w:val="non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24">
              <w:r>
                <w:rPr>
                  <w:rStyle w:val="InternetLink"/>
                  <w:rFonts w:ascii="Times New Roman;serif" w:hAnsi="Times New Roman;serif"/>
                  <w:b w:val="false"/>
                  <w:strike w:val="false"/>
                  <w:dstrike w:val="false"/>
                  <w:color w:val="000000"/>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27">
              <w:r>
                <w:rPr>
                  <w:rStyle w:val="InternetLink"/>
                  <w:rFonts w:ascii="Times New Roman;serif" w:hAnsi="Times New Roman;serif"/>
                  <w:b w:val="false"/>
                  <w:strike w:val="false"/>
                  <w:dstrike w:val="false"/>
                  <w:color w:val="000000"/>
                  <w:sz w:val="20"/>
                  <w:u w:val="none"/>
                  <w:effect w:val="none"/>
                </w:rPr>
                <w:t xml:space="preserve">Legal Proceedings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27">
              <w:r>
                <w:rPr>
                  <w:rStyle w:val="InternetLink"/>
                  <w:rFonts w:ascii="Times New Roman;serif" w:hAnsi="Times New Roman;serif"/>
                  <w:b w:val="false"/>
                  <w:strike w:val="false"/>
                  <w:dstrike w:val="false"/>
                  <w:color w:val="000000"/>
                  <w:sz w:val="20"/>
                  <w:u w:val="none"/>
                  <w:effect w:val="none"/>
                </w:rPr>
                <w:t>43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30">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30">
              <w:r>
                <w:rPr>
                  <w:rStyle w:val="InternetLink"/>
                  <w:rFonts w:ascii="Times New Roman;serif" w:hAnsi="Times New Roman;serif"/>
                  <w:b w:val="false"/>
                  <w:strike w:val="false"/>
                  <w:dstrike w:val="false"/>
                  <w:color w:val="000000"/>
                  <w:sz w:val="20"/>
                  <w:u w:val="none"/>
                  <w:effect w:val="none"/>
                </w:rPr>
                <w:t>44</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3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33">
              <w:r>
                <w:rPr>
                  <w:rStyle w:val="InternetLink"/>
                  <w:rFonts w:ascii="Times New Roman;serif" w:hAnsi="Times New Roman;serif"/>
                  <w:b w:val="false"/>
                  <w:strike w:val="false"/>
                  <w:dstrike w:val="false"/>
                  <w:color w:val="000000"/>
                  <w:sz w:val="20"/>
                  <w:u w:val="none"/>
                  <w:effect w:val="none"/>
                </w:rPr>
                <w:t>81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36">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36">
              <w:r>
                <w:rPr>
                  <w:rStyle w:val="InternetLink"/>
                  <w:rFonts w:ascii="Times New Roman;serif" w:hAnsi="Times New Roman;serif"/>
                  <w:b w:val="false"/>
                  <w:strike w:val="false"/>
                  <w:dstrike w:val="false"/>
                  <w:color w:val="000000"/>
                  <w:sz w:val="20"/>
                  <w:u w:val="none"/>
                  <w:effect w:val="none"/>
                </w:rPr>
                <w:t>81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39">
              <w:r>
                <w:rPr>
                  <w:rStyle w:val="InternetLink"/>
                  <w:rFonts w:ascii="Times New Roman;serif" w:hAnsi="Times New Roman;serif"/>
                  <w:b w:val="false"/>
                  <w:strike w:val="false"/>
                  <w:dstrike w:val="false"/>
                  <w:color w:val="000000"/>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39">
              <w:r>
                <w:rPr>
                  <w:rStyle w:val="InternetLink"/>
                  <w:rFonts w:ascii="Times New Roman;serif" w:hAnsi="Times New Roman;serif"/>
                  <w:b w:val="false"/>
                  <w:strike w:val="false"/>
                  <w:dstrike w:val="false"/>
                  <w:color w:val="000000"/>
                  <w:sz w:val="20"/>
                  <w:u w:val="none"/>
                  <w:effect w:val="none"/>
                </w:rPr>
                <w:t>82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42">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42">
              <w:r>
                <w:rPr>
                  <w:rStyle w:val="InternetLink"/>
                  <w:rFonts w:ascii="Times New Roman;serif" w:hAnsi="Times New Roman;serif"/>
                  <w:b w:val="false"/>
                  <w:strike w:val="false"/>
                  <w:dstrike w:val="false"/>
                  <w:color w:val="000000"/>
                  <w:sz w:val="20"/>
                  <w:u w:val="none"/>
                  <w:effect w:val="none"/>
                </w:rPr>
                <w:t>82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w:t>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854">
              <w:r>
                <w:rPr>
                  <w:rStyle w:val="InternetLink"/>
                  <w:rFonts w:ascii="Times New Roman;serif" w:hAnsi="Times New Roman;serif"/>
                  <w:b w:val="false"/>
                  <w:strike w:val="false"/>
                  <w:dstrike w:val="false"/>
                  <w:color w:val="000000"/>
                  <w:sz w:val="20"/>
                  <w:u w:val="none"/>
                  <w:effect w:val="none"/>
                </w:rPr>
                <w:t>82</w:t>
              </w:r>
            </w:hyperlink>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64f4d324b2497ab69c7bbff57425db_148">
              <w:r>
                <w:rPr>
                  <w:rStyle w:val="InternetLink"/>
                  <w:rFonts w:ascii="Times New Roman;serif" w:hAnsi="Times New Roman;serif"/>
                  <w:b w:val="false"/>
                  <w:strike w:val="false"/>
                  <w:dstrike w:val="false"/>
                  <w:color w:val="000000"/>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a64f4d324b2497ab69c7bbff57425db_148">
              <w:r>
                <w:rPr>
                  <w:rStyle w:val="InternetLink"/>
                  <w:rFonts w:ascii="Times New Roman;serif" w:hAnsi="Times New Roman;serif"/>
                  <w:b w:val="false"/>
                  <w:strike w:val="false"/>
                  <w:dstrike w:val="false"/>
                  <w:color w:val="000000"/>
                  <w:sz w:val="20"/>
                  <w:u w:val="none"/>
                  <w:effect w:val="none"/>
                </w:rPr>
                <w:t>84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Quarterly Report may include, for example, statements about:</w:t>
      </w:r>
    </w:p>
    <w:p>
      <w:pPr>
        <w:pStyle w:val="TextBody"/>
        <w:bidi w:val="0"/>
        <w:spacing w:before="0" w:after="0"/>
        <w:ind w:left="0" w:right="0" w:firstLine="490"/>
        <w:jc w:val="left"/>
        <w:rPr/>
      </w:pPr>
      <w:r>
        <w:rPr/>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our estimated total addressable markets for our long-haul trucking, industrial trucking and defense applications;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operational and product roadmap, and our ability to produce and deploy the Kodiak Driver at scale;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regulatory landscape for the Kodiak Driver and complexities with compliance related to such landscape, including with respect to recent changes in tariffs and trade policy;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evolution of our business model over time;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developments relating to our competitors and industry;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successfully collaborate with business partners and customers;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our ability to obtain, maintain, protect and enforce our intellectual property rights;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future capital requirements and sources and uses of cash;</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expansion plans and opportunities, including into international markets;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potential liquidity and trading of our public securities;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ongoing effects of current and future global economic conditions;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changes in our strategy, future operations, financial position, estimated revenues and losses, projected costs, prospects and plans;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expectations regarding our status as an emerging growth company under the JOBS Act.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Quarterly Report.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significant risks and uncertainties associated with rapidly evolving autonomous vehicle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 xml:space="preserve">our limited operating history, including our net losses and undemonstrated ability to achieve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Driver-as-a-Service or DaaS business model, including maintaining, retaining and expanding customer relationships and scaling production and commercial deliveries on expected timelines;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flaws or errors in our solutions or flaws in or misuse of AV technology in general;</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risk of significant injury, including fatalities, presented by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effects of competition on our business;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risks related to working with third-party suppliers, OEMs, upfitters, service providers and partners for key components of the Kodiak Driver, including supply shortages;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dependence on a limited number of customers, including Atlas and defense customers, for a significant portion of our revenue;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reliance on the experience and expertise of our management team, engineers and other key employees;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establish, maintain, protect or enforce our technology and intellectual property rights and defend intellectual property infringement claims from others;</w:t>
      </w:r>
    </w:p>
    <w:p>
      <w:pPr>
        <w:pStyle w:val="TextBody"/>
        <w:bidi w:val="0"/>
        <w:spacing w:lineRule="auto" w:line="288" w:before="120" w:after="120"/>
        <w:ind w:left="0" w:right="0" w:hanging="360"/>
        <w:jc w:val="left"/>
        <w:rPr/>
      </w:pPr>
      <w:r>
        <w:rPr>
          <w:color w:val="231F20"/>
        </w:rPr>
        <w:t>•    </w:t>
      </w:r>
      <w:r>
        <w:rPr>
          <w:rFonts w:ascii="Times New Roman;serif" w:hAnsi="Times New Roman;serif"/>
          <w:b w:val="false"/>
          <w:color w:val="000000"/>
          <w:sz w:val="20"/>
        </w:rPr>
        <w:t>changes in the regulatory environment, including changes to tariff and trade policies;</w:t>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risks related to general business and economic conditions, including those related to the long-haul trucking, industrial trucking, oil and gas and defense ecosystems;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real or perceived inaccuracies in our assumptions and estimates to calculate certain metrics;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raise capital in the future and our ability to manage our growth, cash and expenses;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maintain the listing of our securities on the Nasdaq Stock Market LLC (“Nasdaq”);</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legal proceedings instituted against us;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other risks and uncertainties described in this Quarterly Report, including those detailed under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of the risks or uncertainties described in this Quarterly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(In thousands, except par values; unaudited) </w:t>
      </w:r>
    </w:p>
    <w:tbl>
      <w:tblPr>
        <w:tblW w:w="10205" w:type="dxa"/>
        <w:jc w:val="left"/>
        <w:tblInd w:w="0" w:type="dxa"/>
        <w:tblLayout w:type="fixed"/>
        <w:tblCellMar>
          <w:top w:w="28" w:type="dxa"/>
          <w:left w:w="28" w:type="dxa"/>
          <w:bottom w:w="28" w:type="dxa"/>
          <w:right w:w="28" w:type="dxa"/>
        </w:tblCellMar>
      </w:tblPr>
      <w:tblGrid>
        <w:gridCol w:w="3125"/>
        <w:gridCol w:w="2355"/>
        <w:gridCol w:w="2151"/>
        <w:gridCol w:w="211"/>
        <w:gridCol w:w="826"/>
        <w:gridCol w:w="109"/>
        <w:gridCol w:w="109"/>
        <w:gridCol w:w="109"/>
        <w:gridCol w:w="109"/>
        <w:gridCol w:w="213"/>
        <w:gridCol w:w="730"/>
        <w:gridCol w:w="158"/>
      </w:tblGrid>
      <w:tr>
        <w:trPr/>
        <w:tc>
          <w:tcPr>
            <w:tcW w:w="312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Simple agreements for future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115,748 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convertible preferred stock, par value $0.0001; 20,000 and no shares authorized as of September 30, 2025 and December 31, 2024, respectively; 142 and no shares issued and outstanding as of September 30,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par value $0.0001; no and 98,127 shares authorized as of September 30, 2025 and December 31, 2024, respectively; no and 62,240 shares issued and outstanding as of September 30,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2834"/>
        <w:gridCol w:w="2402"/>
        <w:gridCol w:w="2409"/>
        <w:gridCol w:w="211"/>
        <w:gridCol w:w="826"/>
        <w:gridCol w:w="109"/>
        <w:gridCol w:w="109"/>
        <w:gridCol w:w="109"/>
        <w:gridCol w:w="109"/>
        <w:gridCol w:w="211"/>
        <w:gridCol w:w="721"/>
        <w:gridCol w:w="155"/>
      </w:tblGrid>
      <w:tr>
        <w:trPr/>
        <w:tc>
          <w:tcPr>
            <w:tcW w:w="283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Common stock, $0.0001 par value; 1,980,000 and 265,000 shares authorized as of September 30, 2025 and December 31, 2024, respectively; 174,957</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58,057 shares issued and outstanding as of September 30,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(250,835)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and stockholders’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12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240"/>
        <w:jc w:val="center"/>
        <w:rPr/>
      </w:pPr>
      <w:r>
        <w:rPr>
          <w:rFonts w:ascii="Times New Roman;serif" w:hAnsi="Times New Roman;serif"/>
          <w:b/>
          <w:color w:val="000000"/>
          <w:sz w:val="20"/>
        </w:rPr>
        <w:t>(In thousands,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838"/>
        <w:gridCol w:w="1368"/>
        <w:gridCol w:w="1387"/>
        <w:gridCol w:w="211"/>
        <w:gridCol w:w="880"/>
        <w:gridCol w:w="109"/>
        <w:gridCol w:w="109"/>
        <w:gridCol w:w="109"/>
        <w:gridCol w:w="109"/>
        <w:gridCol w:w="211"/>
        <w:gridCol w:w="775"/>
        <w:gridCol w:w="109"/>
        <w:gridCol w:w="109"/>
        <w:gridCol w:w="109"/>
        <w:gridCol w:w="109"/>
        <w:gridCol w:w="211"/>
        <w:gridCol w:w="876"/>
        <w:gridCol w:w="109"/>
        <w:gridCol w:w="109"/>
        <w:gridCol w:w="109"/>
        <w:gridCol w:w="109"/>
        <w:gridCol w:w="211"/>
        <w:gridCol w:w="771"/>
        <w:gridCol w:w="158"/>
      </w:tblGrid>
      <w:tr>
        <w:trPr/>
        <w:tc>
          <w:tcPr>
            <w:tcW w:w="183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Series A cumulative redeemable convertible preferred stock</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 warrants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20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58,338</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Deficit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691" w:type="dxa"/>
        <w:jc w:val="center"/>
        <w:tblInd w:w="0" w:type="dxa"/>
        <w:tblLayout w:type="fixed"/>
        <w:tblCellMar>
          <w:top w:w="28" w:type="dxa"/>
          <w:left w:w="28" w:type="dxa"/>
          <w:bottom w:w="28" w:type="dxa"/>
          <w:right w:w="28" w:type="dxa"/>
        </w:tblCellMar>
      </w:tblPr>
      <w:tblGrid>
        <w:gridCol w:w="679"/>
        <w:gridCol w:w="268"/>
        <w:gridCol w:w="269"/>
        <w:gridCol w:w="109"/>
        <w:gridCol w:w="109"/>
        <w:gridCol w:w="109"/>
        <w:gridCol w:w="330"/>
        <w:gridCol w:w="331"/>
        <w:gridCol w:w="211"/>
        <w:gridCol w:w="109"/>
        <w:gridCol w:w="109"/>
        <w:gridCol w:w="109"/>
        <w:gridCol w:w="196"/>
        <w:gridCol w:w="736"/>
        <w:gridCol w:w="109"/>
        <w:gridCol w:w="109"/>
        <w:gridCol w:w="109"/>
        <w:gridCol w:w="109"/>
        <w:gridCol w:w="109"/>
        <w:gridCol w:w="109"/>
        <w:gridCol w:w="109"/>
        <w:gridCol w:w="330"/>
        <w:gridCol w:w="331"/>
        <w:gridCol w:w="211"/>
        <w:gridCol w:w="109"/>
        <w:gridCol w:w="109"/>
        <w:gridCol w:w="109"/>
        <w:gridCol w:w="207"/>
        <w:gridCol w:w="428"/>
        <w:gridCol w:w="116"/>
        <w:gridCol w:w="109"/>
        <w:gridCol w:w="109"/>
        <w:gridCol w:w="109"/>
        <w:gridCol w:w="196"/>
        <w:gridCol w:w="736"/>
        <w:gridCol w:w="109"/>
        <w:gridCol w:w="109"/>
        <w:gridCol w:w="109"/>
        <w:gridCol w:w="109"/>
        <w:gridCol w:w="208"/>
        <w:gridCol w:w="800"/>
        <w:gridCol w:w="118"/>
        <w:gridCol w:w="109"/>
        <w:gridCol w:w="109"/>
        <w:gridCol w:w="109"/>
        <w:gridCol w:w="196"/>
        <w:gridCol w:w="80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Redeemable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Convertible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Stockholders’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(268,144)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(268,144)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(128,185)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62,240 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170,648 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59,016 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(396,329)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(376,634)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(510,055)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(486,919)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in connection with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Reverse recapitalization transaction, net of transaction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redeemable convertible preferred stock issued in connection with reverse recapitalization,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(779,990)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(219,503)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1" w:type="dxa"/>
            <w:gridSpan w:val="48"/>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Deficit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p>
      <w:pPr>
        <w:pStyle w:val="TextBody"/>
        <w:bidi w:val="0"/>
        <w:spacing w:before="0" w:after="120"/>
        <w:jc w:val="left"/>
        <w:rPr/>
      </w:pPr>
      <w:r>
        <w:rPr/>
      </w:r>
    </w:p>
    <w:tbl>
      <w:tblPr>
        <w:tblW w:w="10556"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330"/>
        <w:gridCol w:w="331"/>
        <w:gridCol w:w="211"/>
        <w:gridCol w:w="109"/>
        <w:gridCol w:w="109"/>
        <w:gridCol w:w="109"/>
        <w:gridCol w:w="196"/>
        <w:gridCol w:w="736"/>
        <w:gridCol w:w="109"/>
        <w:gridCol w:w="109"/>
        <w:gridCol w:w="109"/>
        <w:gridCol w:w="109"/>
        <w:gridCol w:w="109"/>
        <w:gridCol w:w="109"/>
        <w:gridCol w:w="109"/>
        <w:gridCol w:w="330"/>
        <w:gridCol w:w="331"/>
        <w:gridCol w:w="211"/>
        <w:gridCol w:w="109"/>
        <w:gridCol w:w="109"/>
        <w:gridCol w:w="109"/>
        <w:gridCol w:w="207"/>
        <w:gridCol w:w="428"/>
        <w:gridCol w:w="116"/>
        <w:gridCol w:w="109"/>
        <w:gridCol w:w="109"/>
        <w:gridCol w:w="109"/>
        <w:gridCol w:w="196"/>
        <w:gridCol w:w="646"/>
        <w:gridCol w:w="109"/>
        <w:gridCol w:w="109"/>
        <w:gridCol w:w="109"/>
        <w:gridCol w:w="109"/>
        <w:gridCol w:w="208"/>
        <w:gridCol w:w="800"/>
        <w:gridCol w:w="118"/>
        <w:gridCol w:w="109"/>
        <w:gridCol w:w="109"/>
        <w:gridCol w:w="109"/>
        <w:gridCol w:w="196"/>
        <w:gridCol w:w="80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Redeemable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Convertible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Stockholders’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Deficit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(198,685)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(198,685)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(216,683)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(203,961)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(234,648)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(220,767)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(253,792)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(238,172)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unaudited) </w:t>
      </w:r>
    </w:p>
    <w:tbl>
      <w:tblPr>
        <w:tblW w:w="10205" w:type="dxa"/>
        <w:jc w:val="left"/>
        <w:tblInd w:w="0" w:type="dxa"/>
        <w:tblLayout w:type="fixed"/>
        <w:tblCellMar>
          <w:top w:w="28" w:type="dxa"/>
          <w:left w:w="28" w:type="dxa"/>
          <w:bottom w:w="28" w:type="dxa"/>
          <w:right w:w="28" w:type="dxa"/>
        </w:tblCellMar>
      </w:tblPr>
      <w:tblGrid>
        <w:gridCol w:w="2882"/>
        <w:gridCol w:w="2314"/>
        <w:gridCol w:w="2330"/>
        <w:gridCol w:w="211"/>
        <w:gridCol w:w="884"/>
        <w:gridCol w:w="109"/>
        <w:gridCol w:w="109"/>
        <w:gridCol w:w="109"/>
        <w:gridCol w:w="109"/>
        <w:gridCol w:w="211"/>
        <w:gridCol w:w="779"/>
        <w:gridCol w:w="158"/>
      </w:tblGrid>
      <w:tr>
        <w:trPr/>
        <w:tc>
          <w:tcPr>
            <w:tcW w:w="2882"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allocated to common stock warrants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Series A cumulative redeemable convertible preferred stock</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 warrants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(36,224)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deposits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second lien loans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simple agreements for future equity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the Series A cumulative redeemable convertible preferred stock</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reverse recapitalization, net of transaction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deferred offering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and restricted cash at period end:</w:t>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activities:</w:t>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simple agreements for future equity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redeemable preferred stock into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second lien loans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transaction costs in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simple agreements for future equity for second lien loan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warrants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non-redemption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 from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related to reverse recapitalization included in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was originally incorporated in the Cayman Islands as an exempted company on March 15, 2021 under the name Ares Acquisition Corporation II (“AACT”). AACT was created as a special purpose acquisition company with the purpose of effecting a merger or similar transaction with one or more businesses.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contemplated by a definitive business combination agreement dated April 14, 2025 (the “BCA”), Kodiak consummated the merger transaction (the “Merger”) on September 24, 2025 (the “Closing Date” or “Closing”), whereby AAC II Merger Sub, Inc. (“Merger Sub”), a direct wholly owned subsidiary of AACT, merged with and into Kodiak Robotics, Inc. (“Legacy Kodiak”), a Delaware corporation. In connection with the Merger, AACT domesticated as a Delaware corporation and changed its name to Kodiak AI, Inc.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with Legacy Kodiak being the accounting acquirer and AACT the acquired company for accounting purposes. As a result of the Merger, all historical financial information presented in the unaudited condensed consolidated financial statements represent the accounts of Legacy Kodiak. Pursuant to the BCA, the share and per share amounts prior to the Closing have been retroactively converted as shares reflecting the per share merger consideration established in the Closing.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listed on the Nasdaq under the symbol “KDK,” and the Company’s warrants to purchase shares of common stock are listed on the Nasdaq under the symbol “KDKRW.”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net losses and negative cash flows from operations since inception and, as of September 30, 2025, had an accumulated deficit of $780.0 million. As of September 30, 2025, the Company had cash and cash equivalents of $146.2 million and debt, current portion of $22.1 million. The Company expects to incur additional losses and increased expenses in future periods as it continues to scale its business, invest in research and development efforts, increase employee headcount, and incur other expenses commonly associated with being a public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future capital requirements are influenced by the rate of adoption of its Kodiak Driver and Driver-as-a-Service (“DaaS”) model, launched in December 2024, as well as associated revenue growth, operating expenses, and research and development activities. To support its operating plan, management expects to seek additional funding through debt or equity offerings.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condensed consolidated financial statements. The condensed consolidated financial statements do not include any adjustments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and the requirements of the Securities and Exchange Commission (the “SEC”) for interim financial reporting. Accordingly, certain footnotes or other financial information that are normally required by GAAP can be condensed or omitted.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interim condensed consolidated balance sheet as of September 30, 2025, and the interim condensed consolidated statements of operations and comprehensive loss, redeemable convertible preferred stock and stockholders’ deficit, and cash flows for the three and nine months ended September 30, 2025 and 2024, are unaudited. These unaudited interim condensed consolidated financial statements have been prepared on the same basis as the Company’s audited annual financial statements for the year ended December 31, 2024, and, in the opinion of management, reflect all adjustments, which include only normal recurring adjustments, necessary for a fair presentation of the Company’s financial position, results of operations, and cash flows for the interim periods presented. The results for the three and nine months ended September 30, 2025, are not necessarily indicative of results to be expected for the year ending December 31, 2025, or any other future interim or annual period. The condensed consolidated balance sheet as of December 31, 2024, included herein was derived from the audited financial statements as of that date. These unaudited condensed consolidated financial statements should be read in conjunction with the Company’s audited financial statements incorporated by reference into the Company’s Form 8-K filed with the SEC on September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and does not require any collateral. As of September 30, 2025 and December 31, 2024, the Company’s balance of accounts receivable was $0.7 million and $1.3 million, respectively. Customers that represented 10% or greater of the Company’s accounts receivable balance were as follows as of the periods presented:</w:t>
      </w:r>
    </w:p>
    <w:tbl>
      <w:tblPr>
        <w:tblW w:w="3686" w:type="dxa"/>
        <w:jc w:val="center"/>
        <w:tblInd w:w="0" w:type="dxa"/>
        <w:tblLayout w:type="fixed"/>
        <w:tblCellMar>
          <w:top w:w="28" w:type="dxa"/>
          <w:left w:w="28" w:type="dxa"/>
          <w:bottom w:w="28" w:type="dxa"/>
          <w:right w:w="28" w:type="dxa"/>
        </w:tblCellMar>
      </w:tblPr>
      <w:tblGrid>
        <w:gridCol w:w="391"/>
        <w:gridCol w:w="344"/>
        <w:gridCol w:w="345"/>
        <w:gridCol w:w="254"/>
        <w:gridCol w:w="254"/>
        <w:gridCol w:w="632"/>
        <w:gridCol w:w="109"/>
        <w:gridCol w:w="109"/>
        <w:gridCol w:w="109"/>
        <w:gridCol w:w="231"/>
        <w:gridCol w:w="231"/>
        <w:gridCol w:w="6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with 10% or greater of the Company’s revenue for the three and nine months ended September 30, 2025 and 2024 were as follows:</w:t>
      </w:r>
    </w:p>
    <w:tbl>
      <w:tblPr>
        <w:tblW w:w="6728" w:type="dxa"/>
        <w:jc w:val="center"/>
        <w:tblInd w:w="0" w:type="dxa"/>
        <w:tblLayout w:type="fixed"/>
        <w:tblCellMar>
          <w:top w:w="28" w:type="dxa"/>
          <w:left w:w="28" w:type="dxa"/>
          <w:bottom w:w="28" w:type="dxa"/>
          <w:right w:w="28" w:type="dxa"/>
        </w:tblCellMar>
      </w:tblPr>
      <w:tblGrid>
        <w:gridCol w:w="391"/>
        <w:gridCol w:w="344"/>
        <w:gridCol w:w="345"/>
        <w:gridCol w:w="224"/>
        <w:gridCol w:w="224"/>
        <w:gridCol w:w="557"/>
        <w:gridCol w:w="224"/>
        <w:gridCol w:w="224"/>
        <w:gridCol w:w="224"/>
        <w:gridCol w:w="224"/>
        <w:gridCol w:w="224"/>
        <w:gridCol w:w="557"/>
        <w:gridCol w:w="109"/>
        <w:gridCol w:w="109"/>
        <w:gridCol w:w="109"/>
        <w:gridCol w:w="213"/>
        <w:gridCol w:w="213"/>
        <w:gridCol w:w="530"/>
        <w:gridCol w:w="213"/>
        <w:gridCol w:w="213"/>
        <w:gridCol w:w="213"/>
        <w:gridCol w:w="213"/>
        <w:gridCol w:w="213"/>
        <w:gridCol w:w="61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G</w:t>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H</w:t>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Financial assets and liabilities recorded at fair value in the condensed consolidated balance sheets are categorized in the fair value hierarchy based upon the lowest level of input that is significant to the fair value as follows: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Level 1—Observable inputs such as unadjusted, quoted prices in active markets for identical assets or liabilities at the measurement date.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or liabilities in markets that are not active.</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Level 3—Unobservable inputs that are supported by little or no market activity and that are significant to the fair value of the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and Earn Out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classifies contracts in it's own equity that do not meet the indexation guidance as liabilities. As of the end of each reporting period, such liability classified instruments are remeasured, with changes in fair value during the reporting period recognized within the condensed consolidated statements of operations and comprehensive loss until the earlier of exercise, settlement, or expiration. The Company classifies contracts in equity that meet the indexation and equity classification guidance as a component of stockholders' deficit and such instruments are not subject to fair value remeasurements.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publicly traded common stock warrants, privately placed common stock warrants, and warrants assumed from Legacy Kodiak's redeemable convertible preferred stock in connection with the Merger, Kodiak Earn Out Securities and Sponsor Earn Out Securities (each as defined in Note 3) are equity-classified instruments indexed to the Company’s own equity. The Company’s PIPE Warrants and NRA Warrants (each as defined in Note 3) are liability-classified instruments not indexed to the Company’s own equity. Certain Legacy Kodiak warrants to purchase redeemable convertible preferred stock were also liability classified instruments prior to being exercised and settled in connection with the reverse recapitalization.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pPr>
      <w:r>
        <w:rPr>
          <w:rFonts w:ascii="Times New Roman;serif" w:hAnsi="Times New Roman;serif"/>
          <w:b w:val="false"/>
          <w:color w:val="000000"/>
          <w:sz w:val="20"/>
        </w:rPr>
        <w:t xml:space="preserve">The Company elected the fair value option to account for its second lien loans, which were recorded at their estimated fair value at issuance and each subsequent balance date. Changes in estimated fair value were recognized as a component of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 xml:space="preserve">in the Company’s condensed consolidated statements of operations and comprehensive loss until settlement in connection with the reverse recapitalization.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Simple Agreements for Future Equity</w:t>
      </w:r>
    </w:p>
    <w:p>
      <w:pPr>
        <w:pStyle w:val="TextBody"/>
        <w:bidi w:val="0"/>
        <w:spacing w:lineRule="auto" w:line="288" w:before="0" w:after="240"/>
        <w:jc w:val="left"/>
        <w:rPr/>
      </w:pPr>
      <w:r>
        <w:rPr>
          <w:rFonts w:ascii="Times New Roman;serif" w:hAnsi="Times New Roman;serif"/>
          <w:b w:val="false"/>
          <w:color w:val="000000"/>
          <w:sz w:val="20"/>
        </w:rPr>
        <w:t xml:space="preserve">The Company accounted for the contractual obligation under its SAFEs to issue a variable number of shares as a liability stated at fair value based on the expected value of shares to be issued in the future to settle the obligation with changes in fair value recognized as a component of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in the Company’s condensed consolidated statements of operations and comprehensive loss until settlement in connection with the reverse recapitalization.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revenues from: (i) providing DaaS to customers; (ii) delivering freight via Kodiak-owned autonomous trucks powered by the Kodiak Driver; and (iii) providing ground autonomy solutions to the U.S. Army. The Company recognizes revenue when customers obtain control of promised goods or services in an amount that reflects the consideration the Company expects to receive for those goods or services. The Company applies the following five-step revenue recognition model in accounting for its revenue arrangements: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a contract with a customer;</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DaaS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Beginning in December 2024, the Company began recognizing revenue on a per-vehicle fee under its DaaS business model.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its DaaS model, the Company supplies self-driving technology consisting of a highly integrated bundle of goods and services that represents a single combined output for which the customer has contracted. This single combined output is made up of both hardware and software, together with ongoing support services, including regular software updates, systems integrations and operational support, including remote monitoring and on-site support. These promises are accounted for as if they were a single performance obligation, as they are delivered to the customer concurrently over the same period of time. Revenue for DaaS arrangements is recognized over time on a ratable basis over the contract term, which is expected to be for a duration of three to four years. Fees are generally billed monthly and are typically on 30-day payment terms.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Freight Delivery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freight delivery revenues are generated from providing freight transportation services to customers in the commercial sector utilizing Company-owned autonomous trucks powered by the Kodiak Driver. The Company generates revenues based on number of paid miles and rate-per-mile fees primarily determined by local market dynamics, which fees are generally billed upon delivery and are typically on 30-day payment terms.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contracts have a single performance obligation to transport commercial freight to an agreed upon destination. This performance obligation is satisfied over time as freight delivery is performed, which typically occurs within one day.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Ground Autonomy Solutions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ground autonomy solutions to a single customer in defense. Services under these contracts relate to the demonstration of specific capabilities of autonomous driving solutions for military vehicles. Each contract is separately agreed with no interdependencies with respect to pricing, promises or objectives and accounted for as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arrangements. Each contract has a specified deliverable(s) that represents a single (or combined) performance obligation with the transfer of the significant risks and rewards of ownership occurring upon acceptance of the final deliverable(s) within each contract. The contracts have fixed fees that are invoiced on an agreed upon billing schedule on payment terms in accordance with the Prompt Payment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Control is transferred at a point in time and revenue is recognized upon completion and customer acceptance of each contract’s deliverable(s).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contract asset represents amounts that are unbilled due to agreed-upon contractual terms in which billing occurs subsequent to 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contract liability represents amounts that have been invoiced to the customer for which the Company has the right to invoice (and for which payment was received) but has not been recognized as revenues because the related products or services have not been transferred to the customer. Such amounts are recognized in revenues as performance obligations are met.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Practical Expedients and Policy Elections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financing component: The promised amount of consideration is not adjusted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Taxes collected on behalf of the customers: The Company excludes from the measurement of the transaction price all taxes assessed by governmental authorities when these taxes are both imposed on and concurrent with a specific revenue-producing transaction and collected by the Company from a customer.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of remaining performance obligations: The Company does not disclose remaining performance obligations for contracts that have an original expected duration of one year or less.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using 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240"/>
        <w:jc w:val="left"/>
        <w:rPr/>
      </w:pPr>
      <w:r>
        <w:rPr>
          <w:rFonts w:ascii="Times New Roman;serif" w:hAnsi="Times New Roman;serif"/>
          <w:b w:val="false"/>
          <w:color w:val="000000"/>
          <w:sz w:val="20"/>
        </w:rPr>
        <w:t>In December 2023, the FASB issued ASU No.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The Company adopted ASU 2023-09 on January 1, 2025 for its annual reporting period ending December 31, 2025. The Company expects that ASU 2023-09 will not have a material impact on its annual income tax disclosures.</w:t>
      </w:r>
    </w:p>
    <w:p>
      <w:pPr>
        <w:pStyle w:val="TextBody"/>
        <w:bidi w:val="0"/>
        <w:spacing w:lineRule="auto" w:line="288" w:before="0" w:after="360"/>
        <w:jc w:val="left"/>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(Topic 805) and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(Topic 810)—</w:t>
      </w:r>
      <w:r>
        <w:rPr>
          <w:rFonts w:ascii="Times New Roman;serif" w:hAnsi="Times New Roman;serif"/>
          <w:b w:val="false"/>
          <w:i/>
          <w:color w:val="000000"/>
          <w:sz w:val="20"/>
        </w:rPr>
        <w:t>Determining the Accounting Acquirer in the Acquisition of a Variable Interest Entity</w:t>
      </w:r>
      <w:r>
        <w:rPr>
          <w:color w:val="000000"/>
        </w:rPr>
        <w:t xml:space="preserve"> </w:t>
      </w:r>
      <w:r>
        <w:rPr>
          <w:rFonts w:ascii="Times New Roman;serif" w:hAnsi="Times New Roman;serif"/>
          <w:b w:val="false"/>
          <w:color w:val="000000"/>
          <w:sz w:val="20"/>
        </w:rPr>
        <w:t xml:space="preserve">(“ASU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other acquisition transactions. The Company early adopted ASU 2025-03 on April 1, 2025 on a prospective basis. Legacy Kodiak was determined to be the accounting acquirer (legal acquiree), and AACT was determined to be the accounting acquiree (legal acquirer).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240"/>
        <w:jc w:val="left"/>
        <w:rPr/>
      </w:pPr>
      <w:r>
        <w:rPr>
          <w:rFonts w:ascii="Times New Roman;serif" w:hAnsi="Times New Roman;serif"/>
          <w:b w:val="false"/>
          <w:color w:val="000000"/>
          <w:sz w:val="20"/>
        </w:rPr>
        <w:t>In November 2024, the FASB issued ASU No. 2024-03,</w:t>
      </w:r>
      <w:r>
        <w:rPr>
          <w:color w:val="000000"/>
        </w:rPr>
        <w:t> </w:t>
      </w:r>
      <w:r>
        <w:rPr>
          <w:rFonts w:ascii="Times New Roman;serif" w:hAnsi="Times New Roman;serif"/>
          <w:b w:val="false"/>
          <w:i/>
          <w:color w:val="000000"/>
          <w:sz w:val="20"/>
        </w:rPr>
        <w:t>Income Statement—Reporting Comprehensive Income (Topic 220): Expense Disaggregation Disclosures</w:t>
      </w:r>
      <w:r>
        <w:rPr>
          <w:color w:val="000000"/>
        </w:rPr>
        <w:t> </w:t>
      </w:r>
      <w:r>
        <w:rPr>
          <w:rFonts w:ascii="Times New Roman;serif" w:hAnsi="Times New Roman;serif"/>
          <w:b w:val="false"/>
          <w:color w:val="000000"/>
          <w:sz w:val="20"/>
        </w:rPr>
        <w:t>(“ASU 2024-03”), which requires entities to provide disaggregated disclosures of certain expense captions presented on the face of the income statement into specific categories within the footnotes to the financial statements to provide enhanced transparency into the nature and function of expenses. ASU 2024-03 is effective for the Company’s annual reporting periods beginning after December 15, 2026, and interim periods within years beginning after December 15, 2027, with early adoption permitted. ASU 2024-03 may be applied retrospectively or prospectively. The Company is evaluating adoption timing and the impact ASU 2024-03 will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i.Certain warrants to purchase shares of Legacy Kodiak redeemable convertible preferred stock were net exercised in exchange for shares of Legacy Kodiak redeemable convertible preferred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ii.Legacy Kodiak redeemable convertible preferred stock, including shares resulting from the net exercise of the preferred stock warrants described above, were converted into shares of Legacy Kodiak common stock at a one-for-one conversion rate;</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iii.All outstanding SAFEs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iv.All second lien loans outstanding at the Closing, excluding the $10.0 million SAFE from an affiliate of AACT that was exchanged for a second lien loan,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v.Warrants to purchase shares of Legacy Kodiak common stock were vested in full and net exercised in exchange for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vi.Legacy Kodiak common stock, including the shares issued as a result of the events described in items ii. through v. above, were converted into shares of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vii.Outstanding options to purchase shares of Legacy Kodiak common stock were exchanged for options to purchase shares of Kodiak common stock;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viii.Warrants to purchase shares of Legacy Kodiak preferred stock, not net exercised, were assumed by Kodiak and converted into the warrants to purchase shares of Kodiak common stock (the “Assumed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was accounted for as a reverse recapitalization. Under this method of accounting, AACT is treated as the acquired company and the Merger is treated as the equivalent of Legacy Kodiak issuing shares for the net assets of AACT,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Series A Preferred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 per share (the “Stated Value”). Additionally, the Preferred Investors received warrants to purchase 125% of the shares of the Company’s common stock issuable upon conversion of the Series A Preferred Stock as of the Closing Date, at an exercise price of $12.00 per share (the “PIPE Warrants”). At the Closing, the Company issued an aggregate of 142,155 shares of the Series A Preferred Stock and an aggregate of 17,769,375 PIPE Warrants to purchase shares of its common stock to the Preferred Investors, for total gross proceeds of $145.0 million (see Note 10).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Non-Redemption Agreements</w:t>
      </w:r>
    </w:p>
    <w:p>
      <w:pPr>
        <w:pStyle w:val="TextBody"/>
        <w:bidi w:val="0"/>
        <w:spacing w:lineRule="auto" w:line="288" w:before="0" w:after="240"/>
        <w:jc w:val="left"/>
        <w:rPr/>
      </w:pPr>
      <w:r>
        <w:rPr>
          <w:rFonts w:ascii="Times New Roman;serif" w:hAnsi="Times New Roman;serif"/>
          <w:b w:val="false"/>
          <w:color w:val="000000"/>
          <w:sz w:val="20"/>
        </w:rPr>
        <w:t xml:space="preserve">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9) and 368,028 NRA Shares. As the NRA Shares and NRA Warrants represented a nonreciprocal transfer of value to certain AACT equity holders, their fair values — $3.2 million for the NRA Shares and $37.0 million for NRA Warrants — were expensed and recorded under </w:t>
      </w:r>
      <w:r>
        <w:rPr>
          <w:rFonts w:ascii="Times New Roman;serif" w:hAnsi="Times New Roman;serif"/>
          <w:b w:val="false"/>
          <w:i/>
          <w:color w:val="000000"/>
          <w:sz w:val="20"/>
        </w:rPr>
        <w:t>loss on issuance of common stock</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loss on issuance of common stock warrants</w:t>
      </w:r>
      <w:r>
        <w:rPr>
          <w:rFonts w:ascii="Times New Roman;serif" w:hAnsi="Times New Roman;serif"/>
          <w:b w:val="false"/>
          <w:color w:val="000000"/>
          <w:sz w:val="20"/>
        </w:rPr>
        <w:t>, respectively, in the condensed consolidated statements of operations and comprehensive loss for the three and nine months ended September 30,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Warrants and Private Placement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11).</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Sponsor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 change of control occurs during the Earn Out Period that results in the holders of Kodiak common stock receiving a per share price equal to or greater than the Triggering Event I Threshold, the Sponsor Earn Out Securities will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Advisor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of Kodiak common stock issued and outstanding following the consummation of the Merger and as of September 30, 2025 was as follows (in thousands):</w:t>
      </w:r>
    </w:p>
    <w:tbl>
      <w:tblPr>
        <w:tblW w:w="7116" w:type="dxa"/>
        <w:jc w:val="center"/>
        <w:tblInd w:w="0" w:type="dxa"/>
        <w:tblLayout w:type="fixed"/>
        <w:tblCellMar>
          <w:top w:w="28" w:type="dxa"/>
          <w:left w:w="28" w:type="dxa"/>
          <w:bottom w:w="28" w:type="dxa"/>
          <w:right w:w="28" w:type="dxa"/>
        </w:tblCellMar>
      </w:tblPr>
      <w:tblGrid>
        <w:gridCol w:w="2066"/>
        <w:gridCol w:w="1809"/>
        <w:gridCol w:w="1825"/>
        <w:gridCol w:w="109"/>
        <w:gridCol w:w="109"/>
        <w:gridCol w:w="109"/>
        <w:gridCol w:w="411"/>
        <w:gridCol w:w="415"/>
        <w:gridCol w:w="263"/>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redemptions of AACT public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 net of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Sponsor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AACT common stock outstanding prior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Advisor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Kodiak common stock outstanding subsequent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part of the Merger, immediately prior to the Closing, Legacy Kodiak security holders became eligible to receive, on a pro rata basis, 74,998,317 shares of Kodiak common stock and restricted stock units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ii.24,999,439 Earn Out Securities that vest or are issued upon satisfaction of Triggering Event II (VWAP ≥ $23.00 for at least 20 out of 30 consecutive trading days, subject to adjustments);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iii.24,999,439 Earn Out Securities that vest or are issued upon satisfaction of Triggering Event III (VWAP ≥ $28.00 for at least 20 out of 30 consecutive trading days, subject to adjustments).</w:t>
      </w:r>
    </w:p>
    <w:p>
      <w:pPr>
        <w:pStyle w:val="TextBody"/>
        <w:bidi w:val="0"/>
        <w:spacing w:lineRule="auto" w:line="268" w:before="0" w:after="360"/>
        <w:jc w:val="left"/>
        <w:rPr>
          <w:rFonts w:ascii="Times New Roman;serif" w:hAnsi="Times New Roman;serif"/>
          <w:b w:val="false"/>
          <w:color w:val="000000"/>
          <w:sz w:val="20"/>
        </w:rPr>
      </w:pPr>
      <w:r>
        <w:rPr>
          <w:rFonts w:ascii="Times New Roman;serif" w:hAnsi="Times New Roman;serif"/>
          <w:b w:val="false"/>
          <w:color w:val="000000"/>
          <w:sz w:val="20"/>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September 30, 2025, the Company had not met any of the triggering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and liabilities measured at fair value on a recurring basis by level within the fair value hierarchy (in thousands):</w:t>
      </w:r>
    </w:p>
    <w:tbl>
      <w:tblPr>
        <w:tblW w:w="7964" w:type="dxa"/>
        <w:jc w:val="left"/>
        <w:tblInd w:w="0" w:type="dxa"/>
        <w:tblLayout w:type="fixed"/>
        <w:tblCellMar>
          <w:top w:w="28" w:type="dxa"/>
          <w:left w:w="28" w:type="dxa"/>
          <w:bottom w:w="28" w:type="dxa"/>
          <w:right w:w="28" w:type="dxa"/>
        </w:tblCellMar>
      </w:tblPr>
      <w:tblGrid>
        <w:gridCol w:w="1156"/>
        <w:gridCol w:w="1016"/>
        <w:gridCol w:w="1022"/>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PIPE Warrants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85" w:type="dxa"/>
        <w:jc w:val="left"/>
        <w:tblInd w:w="0" w:type="dxa"/>
        <w:tblLayout w:type="fixed"/>
        <w:tblCellMar>
          <w:top w:w="28" w:type="dxa"/>
          <w:left w:w="28" w:type="dxa"/>
          <w:bottom w:w="28" w:type="dxa"/>
          <w:right w:w="28" w:type="dxa"/>
        </w:tblCellMar>
      </w:tblPr>
      <w:tblGrid>
        <w:gridCol w:w="1739"/>
        <w:gridCol w:w="1531"/>
        <w:gridCol w:w="1545"/>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SAFEs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assets measured at fair value fair on a recurring basis as of September 30, 2025. The Company’s money market funds as of December 31, 2024 were highly liquid and actively traded marketable securities that generally transacted at a stable $1.00 net asset value representing its estimated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measures its warrant liabilities (see Note 9), second lien loans (see Note 6) and SAFEs (see Note 7) at fair value based on significant inputs not observable in the market and therefore represent Level 3 inputs.</w:t>
      </w:r>
    </w:p>
    <w:p>
      <w:pPr>
        <w:pStyle w:val="TextBody"/>
        <w:bidi w:val="0"/>
        <w:spacing w:lineRule="auto" w:line="288" w:before="0" w:after="240"/>
        <w:jc w:val="left"/>
        <w:rPr/>
      </w:pPr>
      <w:r>
        <w:rPr>
          <w:rFonts w:ascii="Times New Roman;serif" w:hAnsi="Times New Roman;serif"/>
          <w:b w:val="false"/>
          <w:color w:val="000000"/>
          <w:sz w:val="20"/>
        </w:rPr>
        <w:t xml:space="preserve">The valuations of the warrant liabilities, second lien loans, and future equity obligations use assumptions and estimates the Company believes would be made by a market participant in making the same valuation. Changes in the fair value of these instruments were recognized in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in the Company’s condensed consolidated statements of operations and comprehensive loss.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 Liabilities - PIPE Warrants and NRA Warrants</w:t>
      </w:r>
    </w:p>
    <w:p>
      <w:pPr>
        <w:pStyle w:val="TextBody"/>
        <w:bidi w:val="0"/>
        <w:spacing w:lineRule="auto" w:line="288" w:before="0" w:after="240"/>
        <w:jc w:val="left"/>
        <w:rPr/>
      </w:pPr>
      <w:r>
        <w:rPr>
          <w:rFonts w:ascii="Times New Roman;serif" w:hAnsi="Times New Roman;serif"/>
          <w:b w:val="false"/>
          <w:color w:val="000000"/>
          <w:sz w:val="20"/>
        </w:rPr>
        <w:t xml:space="preserve">The Company determined the fair value of each of its PIPE Warrants and NRA Warrants using a Monte Carlo simulation model, applying the following key assumptions as of the issuance date on September 24, 2025: a risk-free rate of 3.8% and volatility of 55.0%. Upon issuance, the fair values of the PIPE Warrants and NRA Warrants were recorded under </w:t>
      </w:r>
      <w:r>
        <w:rPr>
          <w:rFonts w:ascii="Times New Roman;serif" w:hAnsi="Times New Roman;serif"/>
          <w:b w:val="false"/>
          <w:i/>
          <w:color w:val="000000"/>
          <w:sz w:val="20"/>
        </w:rPr>
        <w:t>loss on issuance of common stock warrants</w:t>
      </w:r>
      <w:r>
        <w:rPr>
          <w:color w:val="000000"/>
        </w:rPr>
        <w:t xml:space="preserve"> </w:t>
      </w:r>
      <w:r>
        <w:rPr>
          <w:rFonts w:ascii="Times New Roman;serif" w:hAnsi="Times New Roman;serif"/>
          <w:b w:val="false"/>
          <w:color w:val="000000"/>
          <w:sz w:val="20"/>
        </w:rPr>
        <w:t xml:space="preserve">in the condensed consolidated statements of operations and comprehensive loss. Given the short period between the issuance date and September 30, 2025, and the absence of significant changes in the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valuation assumptions, the Company concluded that there was no material change in the fair value of the PIPE Warrants and NRA Warrants as of September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all then outstanding second lien loans, excluding the $10.0 million SAFE from an affiliate of AACT that was exchanged for a second lien loan, were converted into Kodiak common stock (see Note 6). Immediately prior to such conversion, the aggregate principal amount of the second lien loans that converted was $43.9 million and had an estimated fair value of $67.4 million, which was determined based on the opening price of the Company's common stock on the first day of trading following the consummation of the Merger.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outstanding second lien loans with a principal amount of $10.0 million using a pay-off-to-maturity method, with an implied discount rate of 22.0% as the key valuation assumption as of September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Simple Agreements for Future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all outstanding SAFEs were converted into shares of Kodiak common stock (see Note 7). Immediately prior to such conversion, the SAFE obligations were remeasured to a fair value of $263.0 million, which was determined based on the opening price of the Company's common stock on the first day of trading following the consummation of the Merger. Accordingly, no SAFEs remained outstanding as of September 30,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At the Closing, certain redeemable convertible preferred stock warrants were automatically net exercised (see Note 9). The remaining outstanding redeemable convertible preferred stock warrants were assumed by Kodiak to become warrants to purchase shares of its common stock, which were remeasured to fair value on the Closing Date and reclassified to equity as they met the conditions for equity classification (see Note 11). The Company determined the fair value of its redeemable convertible preferred stock warrants as of the Closing Date by using a Black-Scholes option-pricing model with key assumptions as follows: exercise price range of $0.01 to $3.54, expected term range of 0.0 years to 4.8 years, risk-free rate range of 3.6% to 3.9% and volatility of 55.0%.</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Fair Value Remeasurement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estimated fair values of these liabilities (in thousands):</w:t>
      </w:r>
    </w:p>
    <w:tbl>
      <w:tblPr>
        <w:tblW w:w="9367" w:type="dxa"/>
        <w:jc w:val="center"/>
        <w:tblInd w:w="0" w:type="dxa"/>
        <w:tblLayout w:type="fixed"/>
        <w:tblCellMar>
          <w:top w:w="28" w:type="dxa"/>
          <w:left w:w="28" w:type="dxa"/>
          <w:bottom w:w="28" w:type="dxa"/>
          <w:right w:w="28" w:type="dxa"/>
        </w:tblCellMar>
      </w:tblPr>
      <w:tblGrid>
        <w:gridCol w:w="1385"/>
        <w:gridCol w:w="1216"/>
        <w:gridCol w:w="1224"/>
        <w:gridCol w:w="295"/>
        <w:gridCol w:w="1008"/>
        <w:gridCol w:w="152"/>
        <w:gridCol w:w="109"/>
        <w:gridCol w:w="109"/>
        <w:gridCol w:w="109"/>
        <w:gridCol w:w="211"/>
        <w:gridCol w:w="721"/>
        <w:gridCol w:w="109"/>
        <w:gridCol w:w="109"/>
        <w:gridCol w:w="109"/>
        <w:gridCol w:w="109"/>
        <w:gridCol w:w="480"/>
        <w:gridCol w:w="1401"/>
        <w:gridCol w:w="248"/>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Legacy Kodiak 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second lien loans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SAFEs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SAFE for second lien loan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Assumed Kodiak Warrants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via conversion or exercise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(5,049)</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SAFEs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536" w:type="dxa"/>
        <w:jc w:val="center"/>
        <w:tblInd w:w="0" w:type="dxa"/>
        <w:tblLayout w:type="fixed"/>
        <w:tblCellMar>
          <w:top w:w="28" w:type="dxa"/>
          <w:left w:w="28" w:type="dxa"/>
          <w:bottom w:w="28" w:type="dxa"/>
          <w:right w:w="28" w:type="dxa"/>
        </w:tblCellMar>
      </w:tblPr>
      <w:tblGrid>
        <w:gridCol w:w="1423"/>
        <w:gridCol w:w="1252"/>
        <w:gridCol w:w="1255"/>
        <w:gridCol w:w="257"/>
        <w:gridCol w:w="750"/>
        <w:gridCol w:w="132"/>
        <w:gridCol w:w="109"/>
        <w:gridCol w:w="109"/>
        <w:gridCol w:w="109"/>
        <w:gridCol w:w="245"/>
        <w:gridCol w:w="716"/>
        <w:gridCol w:w="179"/>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receivables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credit receivable</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5501" w:type="dxa"/>
        <w:jc w:val="center"/>
        <w:tblInd w:w="0" w:type="dxa"/>
        <w:tblLayout w:type="fixed"/>
        <w:tblCellMar>
          <w:top w:w="28" w:type="dxa"/>
          <w:left w:w="28" w:type="dxa"/>
          <w:bottom w:w="28" w:type="dxa"/>
          <w:right w:w="28" w:type="dxa"/>
        </w:tblCellMar>
      </w:tblPr>
      <w:tblGrid>
        <w:gridCol w:w="1048"/>
        <w:gridCol w:w="921"/>
        <w:gridCol w:w="925"/>
        <w:gridCol w:w="231"/>
        <w:gridCol w:w="790"/>
        <w:gridCol w:w="119"/>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$0.9 million and $2.1 million for the three and nine months ended September 30, 2025, respectively, and $1.2 million and $3.6 million for the three and nine months ended September 30, 2024, respectively.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 </w:t>
      </w:r>
    </w:p>
    <w:tbl>
      <w:tblPr>
        <w:tblW w:w="6864" w:type="dxa"/>
        <w:jc w:val="center"/>
        <w:tblInd w:w="0" w:type="dxa"/>
        <w:tblLayout w:type="fixed"/>
        <w:tblCellMar>
          <w:top w:w="28" w:type="dxa"/>
          <w:left w:w="28" w:type="dxa"/>
          <w:bottom w:w="28" w:type="dxa"/>
          <w:right w:w="28" w:type="dxa"/>
        </w:tblCellMar>
      </w:tblPr>
      <w:tblGrid>
        <w:gridCol w:w="1542"/>
        <w:gridCol w:w="1354"/>
        <w:gridCol w:w="1363"/>
        <w:gridCol w:w="257"/>
        <w:gridCol w:w="750"/>
        <w:gridCol w:w="132"/>
        <w:gridCol w:w="109"/>
        <w:gridCol w:w="109"/>
        <w:gridCol w:w="109"/>
        <w:gridCol w:w="221"/>
        <w:gridCol w:w="757"/>
        <w:gridCol w:w="161"/>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BCA in April 2025, the Company entered into a Second Lien Loan and Security Agreement, which was subsequently amended to extend the deadline to fund the delayed draw second lien loans and to include additional investors. Under the Second Lien Loan and Security Agreement, certain institutional and accredited investors committed to providing bridge financing in the form of secured convertible notes. Prior to the Closing, $53.9 million had been funded, including $20.0 million from an affiliate of AACT, an aggregate of $12.4 million from a vehicle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controlled by a board member of the Company and a vehicle owned by certain Ares employees in which a former officer and former director of AACT was invested, $10.0 million from the exchange of a SAFE from an affiliate of AACT (the “Exchanged SAFE”) (see Note 7), and $5.0 million from an affiliate of one of the Company’s board members. Following the Closing, a former officer of AACT became a board member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second lien loans in an aggregate principal amount of $43.9 million and with a fair value of $67.4 million (see Note 4), automatically converted into 7,700,557 shares of Kodiak common stock based on the agreed upon conversion price of $6.00 per share. The $10.0 million in principal from the Exchanged SAFE remained outstanding as of September 30, 2025, with a fair value of $10.4 million and a maturity date of October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was 16.25% as of September 30,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Promissory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obligated to reimburse 50% of the monthly contributions made by the Sponsor to AACT’s trust account as well as certain transaction costs incurred by AACT pursuant to the BCA. From April through August 2025, the Company issued secured promissory notes with respect to its reimbursement obligations to AACT and the Sponsor, which were secured under the Second Lien Loan and Security Agreement. The promissory notes did not bear any interest (other than the default rate in accordance with the Second Lien Loan and Security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the aggregate outstanding principal amount of the promissory notes was $4.9 million, which was paid in full. No promissory notes remained outstanding as of September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2022 Credit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2022, the Company entered into a venture loan and security agreement (the “2022 Credit Facility”) with a financial institution to borrow secured term loans of up to an aggregate principal amount of $30.0 million. The Company drew the full amount available under the 2022 Credit Facility upon execution. The proceeds were primarily used to settle outstanding obligations with another lender. Borrowings under the 2022 Credit Facility were initially secured by substantially all of the assets of the Company, excluding the Company’s intellectual property and certain of the Company's other assets. The 2022 Credit Facility contains customary representations and warranties, non-financial covenants and customary events of default. The Company was in compliance with its covenants as of September 30, 2025. The 2022 Credit Facility was amended in June 2024 to revise the repayment schedule, delay principal payments from November 1, 2024 to April 1, 2025, which was accounted for as a modification, and include certain of the Company's intellectual property as collateral. The 2022 Credit Facility was further amended in February 2025 to permit the transaction as contemplated by the BCA (see Note 1). On September 24, 2025, the 2022 Credit Facility was further amended to (i) make certain conforming changes to account for the closing of the Merger and (ii) provide for a post-closing period for the joinder of the Company as a co-borrower under the 2022 Credit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2022 Credit Facility mature in April 2026 and provide for interest-only payments up to and including March 1, 2025. Consecutive payments of principal and interest are due beginning on April 1, 2025 once the interest-only period elapses. As of September 30, 2025, the aggregate principal amount outstanding was $20.0 million. The 2022 Credit Facility bears an annual rate of interest that is payable monthly at 5.50% plus the greater of (i) 4.75% and (ii) the prime rate then in effect. The interest rate was 11.75% at inception and 12.75% as of September 30, 2025. In addition, a final aggregate payment fee of $1.2 million is due upon the earlier of prepayment or maturity of the debt. The Company has the option to prepay the entire outstanding balance of the debt subject to a prepayment fee ranging from 1.0% to 3.0% depending on the timing and circumstances of such prepayment.</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Credit Facility of $1.1 million were recorded as a debt discount, which included $0.7 million related to the fair value of warrants to purchase shares of Legacy Kodiak's redeemable convertible preferred stock issued concurrently with the execution of the 2022 Credit Facility, a commitment fee of $0.3 million and other issuance costs of $0.1 million. The debt discount, together with the final payment fee, is recognized as interest expense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2022 Equipment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2022 Equipment Facility mature in March 2028 and repayments of principal and interest are due monthly commencing in the month following each draw. As of September 30, 2025, and December 31, 2024, the aggregate principal amount outstanding was $2.3 million and $4.1 million, respectively. The 2022 Equipment Facility bears an annual interest rate equivalent to a five-year swap plus 3.38% or ranging from approximately 6.0% to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Company’s future minimum principal payments under its debt arrangements are as follows (in thousands):</w:t>
      </w:r>
    </w:p>
    <w:tbl>
      <w:tblPr>
        <w:tblW w:w="8822" w:type="dxa"/>
        <w:jc w:val="center"/>
        <w:tblInd w:w="0" w:type="dxa"/>
        <w:tblLayout w:type="fixed"/>
        <w:tblCellMar>
          <w:top w:w="28" w:type="dxa"/>
          <w:left w:w="28" w:type="dxa"/>
          <w:bottom w:w="28" w:type="dxa"/>
          <w:right w:w="28" w:type="dxa"/>
        </w:tblCellMar>
      </w:tblPr>
      <w:tblGrid>
        <w:gridCol w:w="1577"/>
        <w:gridCol w:w="1390"/>
        <w:gridCol w:w="1397"/>
        <w:gridCol w:w="109"/>
        <w:gridCol w:w="109"/>
        <w:gridCol w:w="109"/>
        <w:gridCol w:w="295"/>
        <w:gridCol w:w="1008"/>
        <w:gridCol w:w="152"/>
        <w:gridCol w:w="109"/>
        <w:gridCol w:w="109"/>
        <w:gridCol w:w="109"/>
        <w:gridCol w:w="211"/>
        <w:gridCol w:w="616"/>
        <w:gridCol w:w="109"/>
        <w:gridCol w:w="109"/>
        <w:gridCol w:w="109"/>
        <w:gridCol w:w="109"/>
        <w:gridCol w:w="211"/>
        <w:gridCol w:w="721"/>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debt payments and final payment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final payment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7. Simple Agreements for Future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the Closing, the Company had entered into SAFEs with various investors that were classified as liabilities on the Company’s condensed consolidated balance sheets and accounted for at fair value, subject to remeasurement each reporting period (see Note 4). Each SAFE had no maturity date, did not bear any interest and provided the investor with the right to convert into a variable number of shares of future equity in the Company at the stated conversion amount, if certain events or conditions were triggered. All such SAFEs converted into 30,061,262 shares of Kodiak common stock on the Closing Date, with a fair value of $263.0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2024, the Company entered into SAFEs with several investors for an aggregate purchase amount of $45.2 million (“2024 SAFEs”), including $10.4 million with affiliates of two board members. At the same time, the terms of a SAFE entered into in 2023, with an affiliate of a board member, for an aggregate purchase amount of $10.0 million (“2023 SAFE”) were aligned with the 2024 SAFE terms. Between February and April 2025, the Company entered into SAFEs with certain investors for an aggregate purchase amount of $23.7 million (“2025 SAFEs”), including $10.0 million from an affiliate of AACT and $4.0 million from affiliates of two board members. At the same time, the terms of the 2023 SAFE and 2024 SAFEs were amended to include conversion terms upon a SPAC transaction to align with the 2025 SAFE terms. In addition, in April 2025, the $10.0 million SAFE from an affiliate of AACT was exchanged for a second lien loan pursuant to the terms of such SAFE (see Note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SAFEs, including changes as a result of the amendments and the exchange for a second lien loan, were recorded in the condensed consolidated statements of operations and comprehensive loss during the periods presented prior to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litigation and administrative proceedings relating to claims arising from its operations in the normal course of business. As of September 30, 2025, the Company was not involved in any legal actions that could have a material effect on the Company’s financial position, results of operations or liquidity.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September 30, 2025, were as follows (in thousands):</w:t>
      </w:r>
    </w:p>
    <w:tbl>
      <w:tblPr>
        <w:tblW w:w="3932" w:type="dxa"/>
        <w:jc w:val="center"/>
        <w:tblInd w:w="0" w:type="dxa"/>
        <w:tblLayout w:type="fixed"/>
        <w:tblCellMar>
          <w:top w:w="28" w:type="dxa"/>
          <w:left w:w="28" w:type="dxa"/>
          <w:bottom w:w="28" w:type="dxa"/>
          <w:right w:w="28" w:type="dxa"/>
        </w:tblCellMar>
      </w:tblPr>
      <w:tblGrid>
        <w:gridCol w:w="949"/>
        <w:gridCol w:w="836"/>
        <w:gridCol w:w="839"/>
        <w:gridCol w:w="109"/>
        <w:gridCol w:w="109"/>
        <w:gridCol w:w="109"/>
        <w:gridCol w:w="211"/>
        <w:gridCol w:w="61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Warrant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the following liability classified warrants to purchase shares of its common stock outstanding (in thousands, except exercise price per share): </w:t>
      </w:r>
    </w:p>
    <w:tbl>
      <w:tblPr>
        <w:tblW w:w="5590" w:type="dxa"/>
        <w:jc w:val="center"/>
        <w:tblInd w:w="0" w:type="dxa"/>
        <w:tblLayout w:type="fixed"/>
        <w:tblCellMar>
          <w:top w:w="28" w:type="dxa"/>
          <w:left w:w="28" w:type="dxa"/>
          <w:bottom w:w="28" w:type="dxa"/>
          <w:right w:w="28" w:type="dxa"/>
        </w:tblCellMar>
      </w:tblPr>
      <w:tblGrid>
        <w:gridCol w:w="569"/>
        <w:gridCol w:w="502"/>
        <w:gridCol w:w="504"/>
        <w:gridCol w:w="305"/>
        <w:gridCol w:w="305"/>
        <w:gridCol w:w="306"/>
        <w:gridCol w:w="109"/>
        <w:gridCol w:w="109"/>
        <w:gridCol w:w="109"/>
        <w:gridCol w:w="253"/>
        <w:gridCol w:w="741"/>
        <w:gridCol w:w="132"/>
        <w:gridCol w:w="109"/>
        <w:gridCol w:w="109"/>
        <w:gridCol w:w="109"/>
        <w:gridCol w:w="385"/>
        <w:gridCol w:w="385"/>
        <w:gridCol w:w="549"/>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PIPE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PIPE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and in connection with a financing transaction (see Note 10), the Company issued PIPE Warrants to purchase shares of its common stock that were immediately exercisable upon issuance. The PIPE Warrants are subject to standard anti-dilution provisions, a reset of the exercise price six and nine months after the Closing Date based on the trailing 45-day VWAP of the Company's stock as well as down-round provisions that provide for adjustments upon the expiration or termination of certain Company securities. As a result of the down-round provisions, which may result in adjustments triggered by events that are not an input into the fair value model, the PIPE Warrants did not meet the requirements for equity classification and were therefore classified as liabilities, subject to remeasurement each reporting period (see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Non-Redemption Agreement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NRA Warrants have substantially the same terms as the PIPE Warrants, including the standard anti-dilution provisions, a reset of the exercise price as well as down-round provisions that provide for adjustments upon the expiration or termination of certain Company securities as described above. Similarly, the NRA Warrants did not meet the requirements for equity classification and were therefore classified as liabilities, subject to remeasurement each reporting period (see Note 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11).</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Upon the Closing, the Kodiak Assumed Warrants were remeasured and reclassified to equity as it met the criteria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Redeemable Convertible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A Cumulative 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the Company issued an aggregate of 142,155 shares of the Series A Preferred Stock and 17,769,375 freestanding PIPE Warrants for total gross proceeds of $145.0 million (see Note 3). The Company determined the fair value of the Series A Preferred Stock and the PIPE Warrants (see Note 4) at issuance using a Monte Carlo simulation model. The valuation of the Series A Preferred Stock incorporated key assumptions, including a dividend rate of 9.99% (payable in kind), a five-year redemption period, a discount rate of 25%, and a volatility assumption of 55%. </w:t>
      </w:r>
    </w:p>
    <w:p>
      <w:pPr>
        <w:pStyle w:val="TextBody"/>
        <w:bidi w:val="0"/>
        <w:spacing w:lineRule="auto" w:line="288" w:before="0" w:after="240"/>
        <w:jc w:val="left"/>
        <w:rPr/>
      </w:pPr>
      <w:r>
        <w:rPr>
          <w:rFonts w:ascii="Times New Roman;serif" w:hAnsi="Times New Roman;serif"/>
          <w:b w:val="false"/>
          <w:color w:val="000000"/>
          <w:sz w:val="20"/>
        </w:rPr>
        <w:t xml:space="preserve">The valuations indicated an aggregate fair value of $315.6 million, consisting of $229.2 million for the Series A Preferred Stock and $86.4 million for the PIPE Warrants. As the aggregate fair value exceeded the $145.0 million of proceeds received, the Company recognized a total loss of $170.6 million, of which $84.2 million was recorded under </w:t>
      </w:r>
      <w:r>
        <w:rPr>
          <w:rFonts w:ascii="Times New Roman;serif" w:hAnsi="Times New Roman;serif"/>
          <w:b w:val="false"/>
          <w:i/>
          <w:color w:val="000000"/>
          <w:sz w:val="20"/>
        </w:rPr>
        <w:t>loss on issuance of Series A cumulative redeemable convertible preferred stock</w:t>
      </w:r>
      <w:r>
        <w:rPr>
          <w:color w:val="000000"/>
        </w:rPr>
        <w:t xml:space="preserve"> </w:t>
      </w:r>
      <w:r>
        <w:rPr>
          <w:rFonts w:ascii="Times New Roman;serif" w:hAnsi="Times New Roman;serif"/>
          <w:b w:val="false"/>
          <w:color w:val="000000"/>
          <w:sz w:val="20"/>
        </w:rPr>
        <w:t xml:space="preserve">and a loss of $86.4 million was recorded under </w:t>
      </w:r>
      <w:r>
        <w:rPr>
          <w:rFonts w:ascii="Times New Roman;serif" w:hAnsi="Times New Roman;serif"/>
          <w:b w:val="false"/>
          <w:i/>
          <w:color w:val="000000"/>
          <w:sz w:val="20"/>
        </w:rPr>
        <w:t>loss on issuance of common stock warrants</w:t>
      </w:r>
      <w:r>
        <w:rPr>
          <w:color w:val="000000"/>
        </w:rPr>
        <w:t xml:space="preserve"> </w:t>
      </w:r>
      <w:r>
        <w:rPr>
          <w:rFonts w:ascii="Times New Roman;serif" w:hAnsi="Times New Roman;serif"/>
          <w:b w:val="false"/>
          <w:color w:val="000000"/>
          <w:sz w:val="20"/>
        </w:rPr>
        <w:t>in the condensed consolidated statements of operations and comprehensive loss for the three and nine months ended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it is probable that the Series A Preferred Stock will become redeemable based on the passage of time as the holders may redeem at any time after the 5-year anniversary of the Closing Date, the Series A Preferred Stock was recorded in mezzanine equity in the condensed consolidated balance sheet as of September 30, 2025. The Company elected to record changes in the redemption value as they occur and adjust the carrying amount equal to the redemption amount. As the carrying value of the Series A Preferred Stock of $223.2 million was greater than its redemption value (and liquidation preference) of $170.9 million as of September 30, 2025, no change in redemption value was required to be recorded for the three and nine months ended September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significant rights and preferences of the Series A Preferred Stock are as follows: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an annual rate of 9.99% when dividends are paid in additional shares of preferred stock, or 7.99% when paid in cash. Dividends compound on a semi-annual basis and accumulate whether or not declared. As of September 30, 2025, dividends had accrued from the issuance date through period-end but had not yet been paid or compounded.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is $12.00 per share, subject to adjustment for stock dividends, stock splits, combinations, and similar events, as well as customary anti-dilution provisions. If the trailing 45-day volume-weighted average price of the Company’s common stock is below the then-effective conversion price on the 46th trading day following six months after the Closing Date, the conversion price will be adjusted to the greater of such average price or $8.00. A second adjustment may occur on the 46th trading day following nine months after the Closing Date, reducing the conversion price to the greater of the trailing 45-day volume-weighted average price or $6.00.</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Holder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Company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Merger, all shares of issued and outstanding Legacy Kodiak redeemable convertible preferred stock were converted into shares of Legacy Kodiak common stock at a one-for-one conversion rate. At the Closing, these shares of Legacy Kodiak common stock were converted into 62,240,390 shares of Kodiak common stock. As of September 30, 2025, no shares of redeemable convertible preferred stock were issued and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2024, Legacy Kodiak’s redeemable convertible preferred stock consisted of the following (in thousands):</w:t>
      </w:r>
    </w:p>
    <w:tbl>
      <w:tblPr>
        <w:tblW w:w="7965" w:type="dxa"/>
        <w:jc w:val="center"/>
        <w:tblInd w:w="0" w:type="dxa"/>
        <w:tblLayout w:type="fixed"/>
        <w:tblCellMar>
          <w:top w:w="28" w:type="dxa"/>
          <w:left w:w="28" w:type="dxa"/>
          <w:bottom w:w="28" w:type="dxa"/>
          <w:right w:w="28" w:type="dxa"/>
        </w:tblCellMar>
      </w:tblPr>
      <w:tblGrid>
        <w:gridCol w:w="1535"/>
        <w:gridCol w:w="1124"/>
        <w:gridCol w:w="1091"/>
        <w:gridCol w:w="109"/>
        <w:gridCol w:w="109"/>
        <w:gridCol w:w="335"/>
        <w:gridCol w:w="335"/>
        <w:gridCol w:w="336"/>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Issued and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Liquidation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Preference</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redeemable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Stockholders’ Deficit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as of September 30, 2025 was as follows (in thousands).</w:t>
      </w:r>
    </w:p>
    <w:tbl>
      <w:tblPr>
        <w:tblW w:w="7401" w:type="dxa"/>
        <w:jc w:val="center"/>
        <w:tblInd w:w="0" w:type="dxa"/>
        <w:tblLayout w:type="fixed"/>
        <w:tblCellMar>
          <w:top w:w="28" w:type="dxa"/>
          <w:left w:w="28" w:type="dxa"/>
          <w:bottom w:w="28" w:type="dxa"/>
          <w:right w:w="28" w:type="dxa"/>
        </w:tblCellMar>
      </w:tblPr>
      <w:tblGrid>
        <w:gridCol w:w="2088"/>
        <w:gridCol w:w="1830"/>
        <w:gridCol w:w="1838"/>
        <w:gridCol w:w="460"/>
        <w:gridCol w:w="460"/>
        <w:gridCol w:w="462"/>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 Out Securities</w:t>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Common stock warrants</w:t>
            </w:r>
            <w:r>
              <w:rPr>
                <w:rFonts w:ascii="Times New Roman;serif" w:hAnsi="Times New Roman;serif"/>
                <w:b w:val="false"/>
                <w:color w:val="000000"/>
                <w:sz w:val="13"/>
              </w:rPr>
              <w:t>1</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equity incentive plan</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redeemable convertible preferred stock</w:t>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Sponsor Earn Out Securities</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ESPP</w:t>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Common stock warrants include both equity-classified and liability-classified warrants (see Note 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Equity-Classified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the following equity-classified common stock warrants outstanding (in thousands, except exercise price per share): </w:t>
      </w:r>
    </w:p>
    <w:tbl>
      <w:tblPr>
        <w:tblW w:w="7090" w:type="dxa"/>
        <w:jc w:val="center"/>
        <w:tblInd w:w="0" w:type="dxa"/>
        <w:tblLayout w:type="fixed"/>
        <w:tblCellMar>
          <w:top w:w="28" w:type="dxa"/>
          <w:left w:w="28" w:type="dxa"/>
          <w:bottom w:w="28" w:type="dxa"/>
          <w:right w:w="28" w:type="dxa"/>
        </w:tblCellMar>
      </w:tblPr>
      <w:tblGrid>
        <w:gridCol w:w="846"/>
        <w:gridCol w:w="745"/>
        <w:gridCol w:w="748"/>
        <w:gridCol w:w="305"/>
        <w:gridCol w:w="305"/>
        <w:gridCol w:w="306"/>
        <w:gridCol w:w="109"/>
        <w:gridCol w:w="109"/>
        <w:gridCol w:w="109"/>
        <w:gridCol w:w="253"/>
        <w:gridCol w:w="741"/>
        <w:gridCol w:w="132"/>
        <w:gridCol w:w="109"/>
        <w:gridCol w:w="109"/>
        <w:gridCol w:w="109"/>
        <w:gridCol w:w="600"/>
        <w:gridCol w:w="600"/>
        <w:gridCol w:w="8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Kodiak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12/31/2028, 6/30/2031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and Private Placement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Public warrants become exercisable on October 24, 2025. The Company may redeem the Public Warrants if the last reported sales price of Kodiak common stock equals or exceeds $18.00 per share for any 20 trading days within a 30-trading day period ending on the third trading day prior to the date on which the Company provides notice of redemption to the warrant holders. Redemption may be redeemed only in full, not in part, and requires a minimum of 30 days’ prior written notice. Once exercisable, the Public Warrants may be redeemed by the Company at a redemption price of $0.01 per warrant.</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warrants contain a down-round protection feature. If the Company issues additional common stock or equity-linked securities for capital-raising purposes at an effective issue price of less than $9.20 per share and certain other conditions are met, the exercise price of the warrants and the $18.00 per-share redemption trigger price will be adjusted. These conditions include the volume-weighted average trading price of the common stock during the 20 trading day period starting on the trading day prior to the day on which the Company consummated the Merger (such price, the “Market Value”) being below $9.20 per share. In such event, the exercise price of the warrants will be adjusted from $11.50 per share to 115% of the Market Value, and the $18.00 per-share redemption trigger price will be adjusted to 180% of the Market Value (see Note 17).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are substantially identical to the Public Warrants, except that they are not transferable, assignable, or salable until 30 days following the Closing, subject to certain limited exceptions. In addition, the Private Placement Warrants are exercisable on a cashless basis and are non-redeemable.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require a cashless exercise of the Public Warrants upon redemption. The exercise price and number of ordinary shares are subject to adjustment for certain corporate events, such as share dividends, recapitalizations, and mergers. The warrants are not adjusted for ordinary shares issued below the exercise price, and the Company is not obligated to net cash settle them. The warrants are equity-classified because they are indexed to the Company’s common stock and the number of ordinary shares issuable upon exercise is not based on a fixed monetary amount.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Merger, each outstanding and unexercised Legacy Kodiak warrant was converted into an Assumed Kodiak Warrant. Upon the Closing Date, the Assumed Kodiak Warrants were remeasured to fair value and reclassified from liability to equity (see Note 4).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Legacy Kodiak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common stock warrants in connection with entering into advisory and services agreements as well as debt arrangements, which all met the conditions for equity classification. Prior to the Merger, each issued, outstanding and unexercised warrant was net exercised in exchange for shares of Legacy Kodiak common stock in accordance with its contractual terms and was converted into 933,626 shares of Kodiak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Legacy Kodiak 2018 Equity Incentive Plan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2018, the Company adopted its 2018 equity incentive plan (the “2018 Plan”). The Plan provides for the granting of stock-based awards, including stock options and restricted stock to eligible participants, including employees, directors, and service providers. Stock options granted under the 2018 Plan can be in the form of incentive stock options or nonqualified stock options.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2025, the Company's stockholders approved and adopted the Kodiak 2025 Equity Incentive Plan (the “2025 EIP”). The 2025 EIP authorizes the issuance of up to 28,195,000 shares of Kodiak common stock, plus up to 56,100,142 additional shares of Kodiak common stock that may become available from awards granted under the 2018 Plan that are forfeited, cancelled, expired, withheld to cover taxes or exercise prices, or otherwise terminated.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Plan replaced the 2018 Plan, which expired as to future grants as of the Closing. As of September 30, 2025, no awards were granted under the 2025 EIP.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Beginning in 2026, the 2025 EIP also provides for an annual automatic increase in the share reserve equal to the least of (i) 56,390,000 shares of Kodiak common stock, (ii) 5% of the total number of outstanding shares of Kodiak common stock as of the last day of the preceding fiscal year, or (iii) a lesser number determined by the administrator. Awards that may be granted under the 2025 EIP include stock options, stock appreciation rights, restricted stock, restricted stock units, and performance awards to employees, directors and consultants of Kodiak and employees and consultants.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2025, the Company's stockholders approved and adopted the Kodiak 2025 Employee Stock Purchase Plan (the “ESPP”). The ESPP authorizes the issuance of shares of Kodiak common stock pursuant to purchase rights granted to eligible employees. Under the ESPP, 5,639,000 shares of Kodiak common stock are reserved for future issuance. The purchase price for each share during an offering period will be the lesser of 85% of the fair market value of the share on the purchase date or 85% of the fair market value of the share on the offering date. The offering dates and purchase dates for the ESPP are determined at the discretion of the Company’s board of directors. As of September 30, 2025, the Company had not commenced its ESPP.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ESPP will automatically increase on the first day of each fiscal year beginning with fiscal year 2026, by the least of (i) 11,280,000 shares of Kodiak common stock, (ii) 1% of the total number of shares of all classes of Kodiak common stock outstanding on the last day of the immediately preceding fiscal year, or (iii) such lesser number of shares as may be determined by the plan administrator prior to the first day of the applicable fiscal year. Shares issued under the ESPP may be authorized but unissued shares or treasury shares.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equity incentive plan was as follows:</w:t>
      </w:r>
    </w:p>
    <w:tbl>
      <w:tblPr>
        <w:tblW w:w="10205" w:type="dxa"/>
        <w:jc w:val="center"/>
        <w:tblInd w:w="0" w:type="dxa"/>
        <w:tblLayout w:type="fixed"/>
        <w:tblCellMar>
          <w:top w:w="28" w:type="dxa"/>
          <w:left w:w="28" w:type="dxa"/>
          <w:bottom w:w="28" w:type="dxa"/>
          <w:right w:w="28" w:type="dxa"/>
        </w:tblCellMar>
      </w:tblPr>
      <w:tblGrid>
        <w:gridCol w:w="790"/>
        <w:gridCol w:w="693"/>
        <w:gridCol w:w="697"/>
        <w:gridCol w:w="388"/>
        <w:gridCol w:w="388"/>
        <w:gridCol w:w="390"/>
        <w:gridCol w:w="109"/>
        <w:gridCol w:w="109"/>
        <w:gridCol w:w="109"/>
        <w:gridCol w:w="438"/>
        <w:gridCol w:w="1066"/>
        <w:gridCol w:w="230"/>
        <w:gridCol w:w="109"/>
        <w:gridCol w:w="109"/>
        <w:gridCol w:w="109"/>
        <w:gridCol w:w="841"/>
        <w:gridCol w:w="841"/>
        <w:gridCol w:w="843"/>
        <w:gridCol w:w="109"/>
        <w:gridCol w:w="109"/>
        <w:gridCol w:w="109"/>
        <w:gridCol w:w="285"/>
        <w:gridCol w:w="1119"/>
        <w:gridCol w:w="215"/>
      </w:tblGrid>
      <w:tr>
        <w:trPr/>
        <w:tc>
          <w:tcPr>
            <w:tcW w:w="7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1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exercise price of the underlying stock options and the Company’s fair value of its common stock as of the balance sheet date.</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compensation expense related to unvested options was $69.2 million, which the Company expects to recognize over an estimated weighted average period of 2.6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Company’s condensed consolidated statements of operations and comprehensive loss was as follows (in thousands):</w:t>
      </w:r>
    </w:p>
    <w:tbl>
      <w:tblPr>
        <w:tblW w:w="8391" w:type="dxa"/>
        <w:jc w:val="center"/>
        <w:tblInd w:w="0" w:type="dxa"/>
        <w:tblLayout w:type="fixed"/>
        <w:tblCellMar>
          <w:top w:w="28" w:type="dxa"/>
          <w:left w:w="28" w:type="dxa"/>
          <w:bottom w:w="28" w:type="dxa"/>
          <w:right w:w="28" w:type="dxa"/>
        </w:tblCellMar>
      </w:tblPr>
      <w:tblGrid>
        <w:gridCol w:w="995"/>
        <w:gridCol w:w="872"/>
        <w:gridCol w:w="877"/>
        <w:gridCol w:w="257"/>
        <w:gridCol w:w="752"/>
        <w:gridCol w:w="133"/>
        <w:gridCol w:w="133"/>
        <w:gridCol w:w="133"/>
        <w:gridCol w:w="133"/>
        <w:gridCol w:w="257"/>
        <w:gridCol w:w="752"/>
        <w:gridCol w:w="133"/>
        <w:gridCol w:w="109"/>
        <w:gridCol w:w="109"/>
        <w:gridCol w:w="109"/>
        <w:gridCol w:w="237"/>
        <w:gridCol w:w="810"/>
        <w:gridCol w:w="122"/>
        <w:gridCol w:w="122"/>
        <w:gridCol w:w="122"/>
        <w:gridCol w:w="122"/>
        <w:gridCol w:w="237"/>
        <w:gridCol w:w="692"/>
        <w:gridCol w:w="173"/>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Revenues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 providing DaaS to customers, (ii) delivering freight via Kodiak-owned autonomous trucks powered by the Kodiak Driver, and (iii) providing ground autonomy solutions to the U.S. Army. The Company recognizes revenue when customers obtain control of promised services in an amount that reflects the consideration the Company expects to receive for those services.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generated from customers located in the U.S. For the three and nine months ended September 30, 2025, DaaS represented 68% and 34% revenues, while freight delivery represented 32% and 29% of revenues, respectively. Ground autonomy solutions represented 0% and 36% of revenues for the three and nine months ended September 30, 2025, respectively. For the three and nine months ended September 30, 2024, all revenues were generated from freight delivery.</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a duration of one year or more consisted entirely of a DaaS contract as of September 30, 2025. The aggregate amount of the transaction price allocated to unsatisfied performance obligations was $11.0 million as of September 30, 2025, which is expected to be recognized ratably for each DaaS contract and through September 2029.</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360"/>
        <w:jc w:val="left"/>
        <w:rPr/>
      </w:pPr>
      <w:r>
        <w:rPr>
          <w:rFonts w:ascii="Times New Roman;serif" w:hAnsi="Times New Roman;serif"/>
          <w:b w:val="false"/>
          <w:color w:val="000000"/>
          <w:sz w:val="20"/>
        </w:rPr>
        <w:t xml:space="preserve">As of September 30, 2025 and December 31, 2024, the Company did not have any material amounts related to unbilled receivables or contract assets. The Company's contract liabilities were $0.3 million as of September 30, 2025 and were not material as December 31, 2024. Contract liabilities were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immaterial for the three and nine months ended September 30, 2025, and 2024.</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nine months ended September 30, 2025 and 2024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15.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 (in thousands, except per share amounts):</w:t>
      </w:r>
    </w:p>
    <w:tbl>
      <w:tblPr>
        <w:tblW w:w="10205" w:type="dxa"/>
        <w:jc w:val="center"/>
        <w:tblInd w:w="0" w:type="dxa"/>
        <w:tblLayout w:type="fixed"/>
        <w:tblCellMar>
          <w:top w:w="28" w:type="dxa"/>
          <w:left w:w="28" w:type="dxa"/>
          <w:bottom w:w="28" w:type="dxa"/>
          <w:right w:w="28" w:type="dxa"/>
        </w:tblCellMar>
      </w:tblPr>
      <w:tblGrid>
        <w:gridCol w:w="1644"/>
        <w:gridCol w:w="1444"/>
        <w:gridCol w:w="1457"/>
        <w:gridCol w:w="211"/>
        <w:gridCol w:w="892"/>
        <w:gridCol w:w="109"/>
        <w:gridCol w:w="109"/>
        <w:gridCol w:w="109"/>
        <w:gridCol w:w="109"/>
        <w:gridCol w:w="211"/>
        <w:gridCol w:w="787"/>
        <w:gridCol w:w="109"/>
        <w:gridCol w:w="109"/>
        <w:gridCol w:w="109"/>
        <w:gridCol w:w="109"/>
        <w:gridCol w:w="211"/>
        <w:gridCol w:w="887"/>
        <w:gridCol w:w="109"/>
        <w:gridCol w:w="109"/>
        <w:gridCol w:w="109"/>
        <w:gridCol w:w="109"/>
        <w:gridCol w:w="211"/>
        <w:gridCol w:w="782"/>
        <w:gridCol w:w="160"/>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58,338</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common stock equivalents were excluded from the computation of diluted net loss per share for the periods presented because including them would have been antidilutive (in thousands):</w:t>
      </w:r>
    </w:p>
    <w:tbl>
      <w:tblPr>
        <w:tblW w:w="7526" w:type="dxa"/>
        <w:jc w:val="center"/>
        <w:tblInd w:w="0" w:type="dxa"/>
        <w:tblLayout w:type="fixed"/>
        <w:tblCellMar>
          <w:top w:w="28" w:type="dxa"/>
          <w:left w:w="28" w:type="dxa"/>
          <w:bottom w:w="28" w:type="dxa"/>
          <w:right w:w="28" w:type="dxa"/>
        </w:tblCellMar>
      </w:tblPr>
      <w:tblGrid>
        <w:gridCol w:w="1469"/>
        <w:gridCol w:w="1293"/>
        <w:gridCol w:w="1303"/>
        <w:gridCol w:w="514"/>
        <w:gridCol w:w="514"/>
        <w:gridCol w:w="516"/>
        <w:gridCol w:w="109"/>
        <w:gridCol w:w="109"/>
        <w:gridCol w:w="109"/>
        <w:gridCol w:w="465"/>
        <w:gridCol w:w="465"/>
        <w:gridCol w:w="660"/>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113,822</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74,998,317 shares and 6,250,000 shares of common stock equivalent subject to the remaining Earn Out Securities and Sponsor Earn Out Securities, respectively, are excluded from the anti-dilutive table above as of September 30, 2025 as the underlying shares remain contingently issuable as the triggering events have not been satisfied.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Excluded from common stock warrants in the anti-dilutive table above as of September 30, 2024 were those warrants with a nominal exercise price, which were included in the computation of basic and diluted net loss per share on the date all necessary conditions were satisfied for issuance, which was from the date any service based vesting conditions were met.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16.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CODM, its chief executive officer, to allocate resources and evaluate financial performance. Net loss is the key measure of segment profit and loss that the CODM uses to allocate resources and assess performance. The CODM uses net loss to evaluate the Company’s expenditures and monitor budget-to-actual results. The CODM considers budget-to-actual variances and available cash when making decisions about the allocation of resources across the 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net loss include research and development, general and administrative, truck and freight operations and sales and marketing, which are separately presented on the Company’s condensed consolidated statements of operations and comprehensive loss.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2025, the Company notified the holders of its Public Warrants and Private Placement Warrants (see Note 11) of the following adjustments as a result of down-round provisions being triggered in connection with the Merger and the Company’s reported sales price of its common stock pursuant to the terms of the agreement (i) an adjustment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exercise price from $11.50 per share to $9.28 per share of common stock, and (ii) an adjustment of the $18.00 per share redemption trigger to $14.53 per share of common stock. The Market Value was determined to be $8.07 per share. Accordingly, the revised exercise and redemption prices reflect 115% and 180% of the Market Value,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On September 24, 2025 (the "Closing Date" or "Closing"), Kodiak Robotics, Inc. (“Legacy Kodiak”) and Ares Acquisition Corporation II (“AACT”) consummated the merger transaction (the “Merger”) as contemplated by a definitive business combination agreement (the “BCA”) and AACT changed its name to Kodiak AI, Inc. (the “Company” or “Kodiak”). As a result, the financial statements of Legacy Kodiak are now the financial statements of Kodiak. The following discussion and analysis of the financial condition and results of operations should be read together with our condensed consolidated financial statements for the three and nine months ended September 30, 2025 and 2024, and the related notes included elsewhere in this Quarterly Report on Form 10-Q (this “Quarterly Report”) and Legacy Kodiak's audited financial statements, unaudited condensed financial statements, and the related notes incorporated by reference into the Company’s Form 8-K filed with the U.S. Securities and Exchange Commission (the “SEC”) on September 30, 2025.</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Certain information contained in this discussion and analysis is also included elsewhere in this Quarterly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Quarterly Report.</w:t>
      </w:r>
    </w:p>
    <w:p>
      <w:pPr>
        <w:pStyle w:val="TextBody"/>
        <w:bidi w:val="0"/>
        <w:spacing w:lineRule="auto" w:line="288" w:before="0" w:after="36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is a leading provider of artificial intelligence (“AI”)-powered autonomous vehicle (“AV”) technology that is addressing the needs of the long-haul trucking, industrial trucking, and defense industries.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 generating loads across the southern United States. As of September 30, 2025, Kodiak Driver-powered vehicles have logged over 5,200 Cumulative Hours of Paid Driverless Operations and have delivered over 10,000 loads over 3,000,000 autonomous miles driven. In the defense industry, we believe the Kodiak Driver can support national security initiatives and critical government applications.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operate using a Driver-as-a-Service (“DaaS”) business model, which launched in December 2024 with our partnership with Atlas Energy Solutions (“Atlas”), under which our customers will be provided with access to the Kodiak Driver on customer-owned and -operated vehicles. Under this model, we generate revenue through either a per-vehicle or per-mile license fee. This flexible approach is designed to align with our customers’ diverse operational models, while building predictable recurring revenue for us. By integrating the Kodiak Driver into customer-owned fleets, we expect to build an asset-light business that scales with our customers’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the Closing Date, AACT, a Delaware corporation, consummated a series of transactions that resulted in, among other things, the combination of AAC II Merger Sub, Inc., a wholly owned subsidiary of AACT (“Merger Sub”), and Legacy Kodiak pursuant to a definitive business combination agreement dated April 14, 2025 (the “BCA”). Pursuant to the terms of the BCA, Merger Sub merged with and into Legacy Kodiak, with Legacy Kodiak surviving the merger as a wholly owned subsidiary of AACT (the “Merger”). On the Closing Date, AACT changed its name from AACT to “Kodiak AI,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with Legacy Kodiak being the accounting acquirer and AACT being the acquired company for financial reporting purposes. As a result, Legacy Kodiak's financial statements for historical periods will be included in Kodiak’s future periodic reports filed with the SEC.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received $171.2 million cash proceeds from the reverse recapitalization and private investment from public equity financing related to the issuance of our Series A cumulative redeemable convertible preferred stock (the “Series A Preferred Stock”), net of transaction costs.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use the net proceeds from the Merger primarily to support our growth initiatives. We also expect to incur additional expenses as a public company for, among other things, incremental directors’ and officers’ liability insurance, director compensation and additional internal and external accounting, legal and administrative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Results</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this Quarterly Report titled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Evolution of Business Model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nearly 23,000 miles across the southern United States and demonstrate the viability of the Kodiak Driver across multiple operating domains.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Commercialization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launched our DaaS business in December 2024 with Atlas, and as of September 30, 2025, have surpassed 5,200 Cumulative Hours of Paid Driverless Operations. We anticipate scaling our deployment with Atlas over the course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and Canada.</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also continue to prepare our long-haul trucking and industrial trucking customers for our DaaS business model through our Partner Deployment Program (“PDP”) as we work to expand our safety case to interstate highways and seek to grow in the over $900 billion U.S. trucking market.</w:t>
      </w: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Inclusive of both our operations with Atlas and with our over-the-road customers, as of September 30, 2025, Kodiak Driver-powered vehicles have delivered over 10,000 loads over 3,000,000 autonomous miles driven. We see our customer base as a competitive advantage with: our existing customer base having an aggregate fleet size of approximately 119,000 trucks.</w:t>
      </w:r>
      <w:r>
        <w:rPr>
          <w:rFonts w:ascii="Times New Roman;serif" w:hAnsi="Times New Roman;serif"/>
          <w:b w:val="false"/>
          <w:color w:val="000000"/>
          <w:sz w:val="13"/>
        </w:rPr>
        <w:t>2</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ground vehicles in response to instability in the region.</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Economies of Scale, Sales and Marketing, &amp; 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American Trucking Association (“ATA”), ATA U.S. Freight Transportation Forecast to 2035, January 2025.</w:t>
      </w:r>
    </w:p>
    <w:p>
      <w:pPr>
        <w:pStyle w:val="TextBody"/>
        <w:bidi w:val="0"/>
        <w:spacing w:lineRule="auto" w:line="268" w:before="0" w:after="0"/>
        <w:ind w:left="0" w:right="0" w:hanging="144"/>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Transport Topics and Federal Motor Carrier Safety Administration Company Snapshot Report. Fleet size includes company-owned, lease-to-own and owner-operator 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Global Economic Conditions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operating metrics to help us evaluate our business, identify trends affecting our business, formulate business plans and financial projections and make strategic decisions.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Cumulative Hours of Paid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December 2024, we commenced tracking Cumulative Hours of Paid Driverless Operations following the initial delivery of the Kodiak Driver-powered trucks to Atlas. As of December 31, 2024, we had logged 17 Cumulative Hours of Paid Driverless Operations. As of September 30, 2025, we have surpassed 5,200 Cumulative Hours of Paid Driverless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Customer-Owned Driverless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reflects commercial adoption, operational scaling and our ability to deliver autonomous vehicles capable of operating without a safety driver. As of September 30, 2025, our customers had 10 Customer-Owned Driverless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Loss from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from GAAP loss from operations to non-GAAP loss from operations, the most directly comparable financial measure stated in accordance with GAAP.</w:t>
      </w:r>
    </w:p>
    <w:tbl>
      <w:tblPr>
        <w:tblW w:w="9197" w:type="dxa"/>
        <w:jc w:val="left"/>
        <w:tblInd w:w="0" w:type="dxa"/>
        <w:tblLayout w:type="fixed"/>
        <w:tblCellMar>
          <w:top w:w="28" w:type="dxa"/>
          <w:left w:w="28" w:type="dxa"/>
          <w:bottom w:w="28" w:type="dxa"/>
          <w:right w:w="28" w:type="dxa"/>
        </w:tblCellMar>
      </w:tblPr>
      <w:tblGrid>
        <w:gridCol w:w="982"/>
        <w:gridCol w:w="865"/>
        <w:gridCol w:w="867"/>
        <w:gridCol w:w="257"/>
        <w:gridCol w:w="970"/>
        <w:gridCol w:w="132"/>
        <w:gridCol w:w="132"/>
        <w:gridCol w:w="132"/>
        <w:gridCol w:w="132"/>
        <w:gridCol w:w="257"/>
        <w:gridCol w:w="970"/>
        <w:gridCol w:w="132"/>
        <w:gridCol w:w="109"/>
        <w:gridCol w:w="109"/>
        <w:gridCol w:w="109"/>
        <w:gridCol w:w="246"/>
        <w:gridCol w:w="931"/>
        <w:gridCol w:w="127"/>
        <w:gridCol w:w="127"/>
        <w:gridCol w:w="127"/>
        <w:gridCol w:w="127"/>
        <w:gridCol w:w="246"/>
        <w:gridCol w:w="931"/>
        <w:gridCol w:w="180"/>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(48,270)</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tbl>
      <w:tblPr>
        <w:tblW w:w="10068" w:type="dxa"/>
        <w:jc w:val="left"/>
        <w:tblInd w:w="0" w:type="dxa"/>
        <w:tblLayout w:type="fixed"/>
        <w:tblCellMar>
          <w:top w:w="28" w:type="dxa"/>
          <w:left w:w="28" w:type="dxa"/>
          <w:bottom w:w="28" w:type="dxa"/>
          <w:right w:w="28" w:type="dxa"/>
        </w:tblCellMar>
      </w:tblPr>
      <w:tblGrid>
        <w:gridCol w:w="1298"/>
        <w:gridCol w:w="1142"/>
        <w:gridCol w:w="1145"/>
        <w:gridCol w:w="257"/>
        <w:gridCol w:w="970"/>
        <w:gridCol w:w="132"/>
        <w:gridCol w:w="132"/>
        <w:gridCol w:w="132"/>
        <w:gridCol w:w="132"/>
        <w:gridCol w:w="257"/>
        <w:gridCol w:w="970"/>
        <w:gridCol w:w="132"/>
        <w:gridCol w:w="109"/>
        <w:gridCol w:w="109"/>
        <w:gridCol w:w="109"/>
        <w:gridCol w:w="246"/>
        <w:gridCol w:w="931"/>
        <w:gridCol w:w="127"/>
        <w:gridCol w:w="127"/>
        <w:gridCol w:w="127"/>
        <w:gridCol w:w="127"/>
        <w:gridCol w:w="246"/>
        <w:gridCol w:w="931"/>
        <w:gridCol w:w="180"/>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used in operating activities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revenues from: (i) providing DaaS to customers; (ii) delivering freight via Kodiak-owned autonomous trucks powered by the Kodiak Driver; and (iii) providing ground autonomy solutions to the U.S. Army. Defense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truck and freight operations and sales and marketing.</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continue to increase for the foreseeable future as we advance our innovation efforts, expand into new operational domains and enhance solutions leveraging our proprietary technology.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payments, fees for professional services, including external accounting and legal advisors, and other general and administrative expenses.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truck and freight operations costs to continue to increase due to the expansion of our testing and deployment with new and existing customers and to support our geographic expansion.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We expect our sales and marketing expenses to continue to increase to support the expected growth in our commercial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(Expenses) Income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income consists primarily of (i) loss on issuance of our Series A cumulative redeemable convertible preferred stock, common stock, and common stock warrants; (ii) changes in fair value as a result of the remeasurement of our second lien loans, simple agreements for future equity (“SAFEs”), and redeemable convertible preferred stock warrant liabilities; (iii) interest income and other net, which includes income on our cash equivalents, net of transaction costs related to the reverse recapitalization; and (iv) interest expense incurred on our debt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Three Months Ended September 30, 2025 compared to Three Months Ended September 30, 2024</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780"/>
        <w:gridCol w:w="1443"/>
        <w:gridCol w:w="1462"/>
        <w:gridCol w:w="211"/>
        <w:gridCol w:w="879"/>
        <w:gridCol w:w="109"/>
        <w:gridCol w:w="109"/>
        <w:gridCol w:w="109"/>
        <w:gridCol w:w="109"/>
        <w:gridCol w:w="211"/>
        <w:gridCol w:w="774"/>
        <w:gridCol w:w="109"/>
        <w:gridCol w:w="109"/>
        <w:gridCol w:w="109"/>
        <w:gridCol w:w="109"/>
        <w:gridCol w:w="211"/>
        <w:gridCol w:w="879"/>
        <w:gridCol w:w="109"/>
        <w:gridCol w:w="109"/>
        <w:gridCol w:w="109"/>
        <w:gridCol w:w="109"/>
        <w:gridCol w:w="215"/>
        <w:gridCol w:w="215"/>
        <w:gridCol w:w="617"/>
      </w:tblGrid>
      <w:tr>
        <w:trPr/>
        <w:tc>
          <w:tcPr>
            <w:tcW w:w="178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Series A cumulative redeemable convertible preferred stock</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 warrants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$0.4 million, or 93%, to $0.8 million for the three months ended September 30, 2025 from $0.4 million for the three months ended September 30, 2024. The increase was primarily attributable to the commencement of DaaS revenue in December 2024.</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$3.0 million, or 29%, to $13.5 million for the three months ended September 30, 2025 from $10.4 million for the three months ended September 30, 2024. The increase was primarily attributable to $1.9 million of higher headcount-related expenses, an increase of $0.9 million in third-party software license costs, and $0.5 million in outsourced production start-up costs. These costs were offset by a decrease of $0.4 million in prototyping hardware spend.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$4.0 million, or 78%, to $9.2 million for the three months ended September 30, 2025 from $5.1 million for the three months ended September 30, 2024. The increase was primarily attributable to $2.9 million of higher headcount-related expenses and an increase of $1.1 million in expenses related to legal, accounting and other professional services, incurred primarily related to going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Truck and freight operations expenses increased by $4.5 million, or 216%, to $6.6 million for the three months ended September 30, 2025 from $2.1 million for the three months ended September 30, 2024. The increase was primarily attributable to $2.6 million of higher headcount-related expenses and $1.8 million in increased operational infrastructure costs, both of which were incurred to support DaaS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$0.5 million, or 59%, to $1.5 million for the three months ended September 30, 2025 from $0.9 million for the three months ended September 30, 2024. The increase was primarily attributable to higher headcount-related expenses.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(Expenses) Income</w:t>
      </w:r>
    </w:p>
    <w:p>
      <w:pPr>
        <w:pStyle w:val="TextBody"/>
        <w:bidi w:val="0"/>
        <w:spacing w:lineRule="auto" w:line="288" w:before="0" w:after="360"/>
        <w:ind w:left="0" w:right="0" w:firstLine="490"/>
        <w:jc w:val="left"/>
        <w:rPr/>
      </w:pPr>
      <w:r>
        <w:rPr>
          <w:rFonts w:ascii="Times New Roman;serif" w:hAnsi="Times New Roman;serif"/>
          <w:b w:val="false"/>
          <w:color w:val="000000"/>
          <w:sz w:val="20"/>
        </w:rPr>
        <w:t xml:space="preserve">Other expenses, net increased by $239.0 million to $240.0 million for the three months ended September 30, 2025 from $0.9 million for the three months ended September 30, 2024. The increase was primarily attributable to the aggregate loss of $210.7 million on issuance of Series A cumulative redeemable convertible preferred stock, common stock, and common stock warrants. In addition, the year-over-year change included an increase in expenses driven by the changes in fair value as a result of remeasurement of second lien loans of $21.8 million and redeemable convertible preferred stock warrant liabilities of $6.1 million, partially offset by a change in fair value of SAFEs of $2.5 million during the three months ended September 30, 2025 compared to the three months ended September 30, 2024. Furthermore, we recognized a $3.2 million loss attributable to transaction costs related to the reverse recapitalization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during the three months ended September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to Nine Months Ended September 30, 2024</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791"/>
        <w:gridCol w:w="1454"/>
        <w:gridCol w:w="1474"/>
        <w:gridCol w:w="211"/>
        <w:gridCol w:w="879"/>
        <w:gridCol w:w="109"/>
        <w:gridCol w:w="109"/>
        <w:gridCol w:w="109"/>
        <w:gridCol w:w="109"/>
        <w:gridCol w:w="211"/>
        <w:gridCol w:w="774"/>
        <w:gridCol w:w="109"/>
        <w:gridCol w:w="109"/>
        <w:gridCol w:w="109"/>
        <w:gridCol w:w="109"/>
        <w:gridCol w:w="211"/>
        <w:gridCol w:w="879"/>
        <w:gridCol w:w="109"/>
        <w:gridCol w:w="109"/>
        <w:gridCol w:w="109"/>
        <w:gridCol w:w="109"/>
        <w:gridCol w:w="233"/>
        <w:gridCol w:w="233"/>
        <w:gridCol w:w="547"/>
      </w:tblGrid>
      <w:tr>
        <w:trPr/>
        <w:tc>
          <w:tcPr>
            <w:tcW w:w="179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Series A cumulative redeemable convertible preferred stock</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 warrants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(511,842)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$1.5 million, or 124%, to $2.7 million for the nine months ended September 30, 2025 from $1.2 million for the nine months ended September 30, 2024. The increase was primarily attributed to a $1.0 million increase in DaaS revenue, which commenced in December 2024, and a $0.5 million net increase related to contracts with the U.S. Army and freight delivery.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$6.5 million, or 22%, to $35.8 million for the nine months ended September 30, 2025 from $29.3 million for the nine months ended September 30, 2024. The increase was primarily attributable to an increased investment of $2.5 million in software tools to support our artificial intelligence and machine learning initiatives, $2.4 million of higher headcount-related expenses, and $2.2 million related to the timing of costs recognized pursuant to our contract with the U.S Army. These costs were offset by a decrease of $1.3 million in prototyping hardware spend.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$5.8 million, or 37%, to $21.5 million for the nine months ended September 30, 2025 from $15.7 million for the nine months ended September 30, 2024. The increase was primarily attributable to $3.9 million of higher headcount-related expenses and an increase of $2.2 million in costs incurred for legal, accounting and other professional services, incurred primarily related to going public.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Truck and freight operations expenses increased by $10.1 million, or 169%, to $16.1 million for the nine months ended September 30, 2025 from $6.0 million for the nine months ended September 30, 2024. The increase was primarily attributable to $6.0 million of higher headcount-related expenses and $3.8 million in increased operational infrastructure costs, both of which were incurred to support DaaS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$0.8 million, or 31%, to $3.3 million for the nine months ended September 30, 2025 from $2.5 million for the nine months ended September 30, 2024. The increase was primarily attributable to $1.0 million of higher headcount-related expenses, partially offset by a $0.3 million decrease in marketing programs expenditures.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(Expenses) Income</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net increased by $435.1 million to $437.9 million for the nine months ended September 30, 2025 from $2.8 million for the nine months ended September 30, 2024. The increase was primarily attributable to </w:t>
      </w:r>
    </w:p>
    <w:p>
      <w:pPr>
        <w:pStyle w:val="TextBody"/>
        <w:bidi w:val="0"/>
        <w:spacing w:lineRule="auto" w:line="268" w:before="0" w:after="240"/>
        <w:jc w:val="left"/>
        <w:rPr/>
      </w:pPr>
      <w:r>
        <w:rPr>
          <w:rFonts w:ascii="Times New Roman;serif" w:hAnsi="Times New Roman;serif"/>
          <w:b w:val="false"/>
          <w:color w:val="000000"/>
          <w:sz w:val="20"/>
        </w:rPr>
        <w:t xml:space="preserve">the aggregate loss of $210.7 million on issuance of Series A cumulative redeemable convertible preferred stock, common stock, and common stock warrants. In addition, the year-over-year change included an increase in expenses driven by the changes in fair value as a result of remeasurement of SAFEs of $190.1 million, second lien loans of $23.9 million, and redeemable convertible preferred stock warrant liabilities of $7.6 million for the nine months ended September 30, 2025 compared to the nine months ended September 30, 2024. Furthermore, we recognized a $3.2 million loss attributable to transaction costs related to the reverse recapitalization within </w:t>
      </w:r>
      <w:r>
        <w:rPr>
          <w:rFonts w:ascii="Times New Roman;serif" w:hAnsi="Times New Roman;serif"/>
          <w:b w:val="false"/>
          <w:i/>
          <w:color w:val="000000"/>
          <w:sz w:val="20"/>
        </w:rPr>
        <w:t xml:space="preserve">interest income and other, net </w:t>
      </w:r>
      <w:r>
        <w:rPr>
          <w:rFonts w:ascii="Times New Roman;serif" w:hAnsi="Times New Roman;serif"/>
          <w:b w:val="false"/>
          <w:color w:val="000000"/>
          <w:sz w:val="20"/>
        </w:rPr>
        <w:t>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we incurred a net loss of $511.8 million. We expect to incur additional losses and increased expenses in future periods as we continue to scale our business, invest in research and development efforts, increase employee headcount and incur additional expenses associated with being a public company.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and cash equivalents of $146.2 million and debt, current portion of $22.1 million. We do not anticipate that such cash and cash equivalents will be sufficient to meet our capital requirements for at least one year from the filing date of this Quarterly Report under our current operating plan. We expect to seek additional funding through debt or equity offerings, which may result in substantial dilution or restrictive covenants, to fund our operating plan.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receive up to $670.5 million from the exercise in full of all of our outstanding warrants for cash based on the exercise price, or $518.2 million if the exercise prices of the warrants are reduced to the lowest price currently contemplated thereunder. The current exercise price of the publicly traded and privately issued warrants is $9.28 per share, and the initial exercise price of the warrants to purchase common stock issued in connection with the reverse recapitalization is $12.00 per share. The closing price of our common stock on Nasdaq on November 10, 2025 was $7.98 per share.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1" w:after="240"/>
        <w:jc w:val="left"/>
        <w:rPr/>
      </w:pPr>
      <w:r>
        <w:rPr>
          <w:rFonts w:ascii="Times New Roman;serif" w:hAnsi="Times New Roman;serif"/>
          <w:b w:val="false"/>
          <w:color w:val="000000"/>
          <w:sz w:val="20"/>
        </w:rPr>
        <w:t>Nine Months Ended</w:t>
      </w:r>
      <w:r>
        <w:rPr>
          <w:color w:val="000000"/>
        </w:rPr>
        <w:t xml:space="preserve"> </w:t>
      </w:r>
      <w:r>
        <w:rPr>
          <w:rFonts w:ascii="Times New Roman;serif" w:hAnsi="Times New Roman;serif"/>
          <w:b w:val="false"/>
          <w:color w:val="000000"/>
          <w:sz w:val="20"/>
        </w:rPr>
        <w:t>September 30, 2025 compared to</w:t>
      </w:r>
      <w:r>
        <w:rPr>
          <w:color w:val="000000"/>
        </w:rPr>
        <w:t xml:space="preserve"> </w:t>
      </w:r>
      <w:r>
        <w:rPr>
          <w:rFonts w:ascii="Times New Roman;serif" w:hAnsi="Times New Roman;serif"/>
          <w:b w:val="false"/>
          <w:color w:val="000000"/>
          <w:sz w:val="20"/>
        </w:rPr>
        <w:t>Nine Months Ended</w:t>
      </w:r>
      <w:r>
        <w:rPr>
          <w:color w:val="000000"/>
        </w:rPr>
        <w:t xml:space="preserve"> </w:t>
      </w:r>
      <w:r>
        <w:rPr>
          <w:rFonts w:ascii="Times New Roman;serif" w:hAnsi="Times New Roman;serif"/>
          <w:b w:val="false"/>
          <w:color w:val="000000"/>
          <w:sz w:val="20"/>
        </w:rPr>
        <w:t>September 30, 2024</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flows for the periods indicated are summarized in the table below (in thousands): </w:t>
      </w:r>
    </w:p>
    <w:tbl>
      <w:tblPr>
        <w:tblW w:w="7568" w:type="dxa"/>
        <w:jc w:val="center"/>
        <w:tblInd w:w="0" w:type="dxa"/>
        <w:tblLayout w:type="fixed"/>
        <w:tblCellMar>
          <w:top w:w="28" w:type="dxa"/>
          <w:left w:w="28" w:type="dxa"/>
          <w:bottom w:w="28" w:type="dxa"/>
          <w:right w:w="28" w:type="dxa"/>
        </w:tblCellMar>
      </w:tblPr>
      <w:tblGrid>
        <w:gridCol w:w="1784"/>
        <w:gridCol w:w="1570"/>
        <w:gridCol w:w="1580"/>
        <w:gridCol w:w="211"/>
        <w:gridCol w:w="826"/>
        <w:gridCol w:w="109"/>
        <w:gridCol w:w="109"/>
        <w:gridCol w:w="109"/>
        <w:gridCol w:w="109"/>
        <w:gridCol w:w="211"/>
        <w:gridCol w:w="796"/>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nine months ended September 30, 2025 was $70.2 million and consisted of a net loss of $511.8 million and a $8.0 million change in our operating assets and liabilities, partially offset by $449.6 million in non-cash adjustments. Non-cash adjustments primarily consisted of an aggregate loss of $210.7 million on issuance of Series A cumulative redeemable convertible preferred stock, common stock, and common stock warrants,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$190.1 million in the change in fair value of SAFEs, $23.9 million in the change in fair value of second lien loans, $10.1 million in stock-based compensation, $7.3 million in the change in fair value of redeemable convertible preferred stock warrant liabilities, $3.2 million transaction costs allocated to warrant liabilities, $2.1 million in depreciation and amortization, and $1.4 million in non-cash lease expense. The change in our operating assets and liabilities was primarily due to a $4.8 million decrease in our accounts payable and accrued expenses and other current liabilities due to the timing of payments and a $2.6 million increase in our prepaid expenses and other current assets primarily due to the timing of payments, and $1.4 million decrease in operating lease liabilities, partially offset by a $0.6 million decrease in account receivable primarily related to our contract with Atlas.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nine months ended September 30, 2024 was $36.2 million and consisted of a net loss of $55.1 million, partially offset by a $9.6 million change in our operating assets and liabilities and $9.3 million in non-cash adjustments. Non-cash adjustments primarily consisted of $4.0 million in stock-based compensation, $3.6 million in depreciation and amortization and $1.7 million in non-cash lease expense. The change in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assets and liabilities was primarily due to an increase of $14.2 million in our accounts payable and accrued expenses and other current liabilities due to the timing of payments, partially offset by a $3.4 million increase in prepaid expenses and other current assets due to timing of payments and a $1.6 million decrease in operating lease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nine months ended September 30, 2025 was $11.9 million and related to purchases of property and equipment.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2024 was $0.8 million and primarily related to purchases of property and equipment.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2025 was $211.6 million and consisted of $145.0 million in proceeds from the Series A Preferred Stock, $43.9 million in proceeds from the issuance of second lien loans, $26.2 million in proceeds from the reverse recapitalization, net of transaction costs, $23.7 million in proceeds from the issuance of SAFEs, and $1.2 million from exercise of stock options, partially offset by $16.6 million payments for deferred offering costs and $11.8 million for the repayment of debt obligations.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nine months ended September 30, 2024 was $42.4 million and primarily consisted of $44.1 million in proceeds from the issuance of SAFEs, partially offset by $1.7 million for the repayment of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Debt Agreements</w:t>
      </w:r>
    </w:p>
    <w:p>
      <w:pPr>
        <w:pStyle w:val="TextBody"/>
        <w:bidi w:val="0"/>
        <w:spacing w:lineRule="auto" w:line="288" w:before="0" w:after="12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Second Lien Credit Facility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BCA in April 2025, we entered into a Second Lien Loan and Security Agreement. Certain institutional and accredited investors committed to providing bridge financing in the form of secured convertible notes. Prior to the Closing, $53.9 million had been funded, including $10.0 million from the exchange of a SAFE from an affiliate of AACT (the “Exchanged SAFE Loan”). The second lien loans carry a prime plus 9.00% per annum interest rate, subject to a minimum rate of 13.75%, which interest is paid in kind and capitalized and mature on October 1, 2026. Other than the Exchanged SAFE Loan, borrowings under the Second Lien Loan and Security Agreement automatically converted immediately prior to the consummation of the Merger into Legacy Kodiak common stock, which subsequently converted into shares of our common stock. As such, as of September 30, 2025, the $10.0 million Exchanged SAFE Loan remains outstanding. </w:t>
      </w:r>
    </w:p>
    <w:p>
      <w:pPr>
        <w:pStyle w:val="TextBody"/>
        <w:bidi w:val="0"/>
        <w:spacing w:lineRule="auto" w:line="288" w:before="0" w:after="12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Promissory Notes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From April through August 2025, we issued secured promissory notes with respect to our reimbursement obligations to AACT and the Sponsor, which were secured under the Second Lien Loan and Security Agreement. At the Closing, the aggregate outstanding principal amount of the promissory notes was $4.9 million, which was paid in full. As such, no amounts remain outstanding under such promissory notes as of September 30, 2025.</w:t>
      </w:r>
    </w:p>
    <w:p>
      <w:pPr>
        <w:pStyle w:val="TextBody"/>
        <w:bidi w:val="0"/>
        <w:spacing w:lineRule="auto" w:line="288" w:before="0" w:after="12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Credit Facility</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September 2022, we entered into a venture loan and security agreement (the “2022 Credit Facility”) with an affiliate of Horizon Technology Finance Corporation to borrow secured term loans of up to an aggregate principal amount of $30.0 million.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outstanding term loans under the 2022 Credit Facility in an aggregate principal amount of $20.0 million. Outstanding loans accrue interest at an annual rate of 5.50% plus the greater of (i) the prime rate then in effect and (ii) 4.75%. An aggregate of $5.0 million, plus accrued and unpaid interest, is payable in monthly installments during the remaining three months in 2025, and an aggregate of $15.0 million, plus accrued and unpaid interest, is payable in monthly installments during the period from January 1, 2026 to April 1, 2026. A final payment of $1.2 million is due at maturity on April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Equipment Financing</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a financing agreement with a lender, Western Alliance Equipment Finance, LLC, to borrow up to $10.0 million as secured equipment line advances (the “2022 Equipment Facility”). As of September 30, 2025, we had outstanding debt under the 2022 Equipment Facility in an aggregate principal amount of $2.3 million at an interest rate ranging from approximately 6.0% to 7.0%, of which $0.4 million is due during the remaining three months in 2025, and $1.9 million is due during the period from January 1, 2026 to March 1, 2028. The 2022 Equipment Facility matures on March 1, 2028.</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of our credit facilities contains a number of customary affirmative and negative covenants. Among other things, those covenants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negative pledge clauses with respect to our intellectual property; and change our line of business, in each case, subject to certain limited exceptions. As of September 30, 2025, we were in compliance with all covenants under our debt agreements.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6 to our unaudited condensed financial statements included in Part I, Item 1 of this Quarterly Report for additional information regarding our debt agreements.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other cash requirements greater than a one-year period as of September 30, 2025 were related to leases and certain purchase commitments with our service providers.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are related to facilities located in Mountain View, California, as well as in Lancaster and Odessa, Texas, under non-cancellable agreements expiring at various dates through 2031. As of September 30, 2025, the total undiscounted future lease payments under our operating leases were $8.0 million.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enter into purchase commitments with our service providers. As of September 30, 2025, the total purchase commitments under such vendor agreements were $9.3 million.</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8 in our unaudited condensed financial statements included in Part I, Item 1 of this Quarterly Report for additional information regarding our other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GAAP. The preparation of our condensed consolidated financial statements requires us to make estimates and assumptions that affect the reported amounts of assets, liabilities,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 from licensing the Kodiak Driver to its customers under its DaaS model, the delivery of freight via its own Kodiak Driver-powered trucks and the provision of services to the U.S. Army to automate ground vehicles. We recognize revenue when customers obtain control of promised goods or services in an amount that reflects the consideration it expects to receive for those goods or services. We apply the following five-step revenue recognition model in accounting for its revenue arrangements: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performance obligations for our initial revenues have primarily been satisfied upon a point in time when control is transferred to our customers.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may be required to exercise considerable judgment in estimating revenue to be recognized. Judgment is required in identifying performance obligations and whether there are multiple promises that should be a combined performance obligation. Generally, our performance obligations consist of either a single distinct good or service, or a combination of goods or services that are bundled together and accounted for as a single performance obligation when they are not separately identifiable. Additionally, evaluating how control is transferred, when or as performance obligations are satisfied can require significant judgment.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stock options granted under our equity incentive plan on the grant date using the Black-Scholes option pricing model, which requires us to make a number of assumptions. See Note 12 of our unaudited condensed financial statements included in Part I, Item 1 of this report for a complete discussion of our stock-based compensation plans. The grant-date fair value of stock-based awards is generally recognized on a straight-line basis over the requisite service period, which is generally the vesting period of the awards.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Black-Scholes option pricing model requires the use of subjective assumptions to determine the fair value of stock-based awards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 xml:space="preserve">Fair Value of Common Stock </w:t>
      </w:r>
      <w:r>
        <w:rPr>
          <w:color w:val="000000"/>
        </w:rPr>
        <w:t>– </w:t>
      </w:r>
      <w:r>
        <w:rPr>
          <w:rFonts w:ascii="Times New Roman;serif" w:hAnsi="Times New Roman;serif"/>
          <w:b w:val="false"/>
          <w:color w:val="000000"/>
          <w:sz w:val="20"/>
        </w:rPr>
        <w:t>Prior to the Merger, as there had been no public market for our common stock, management and/or the board of directors has historically determined the fair market value of our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amongst other factors.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expected term represents the period that our stock-based awards are expected to be outstanding and is determined using the simplified method. The simplified method calculates the expected term as the average of the time-to-vesting and the contractual life of the award.</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 xml:space="preserve">Expected Volatility </w:t>
      </w:r>
      <w:r>
        <w:rPr>
          <w:color w:val="000000"/>
        </w:rPr>
        <w:t>– </w:t>
      </w:r>
      <w:r>
        <w:rPr>
          <w:rFonts w:ascii="Times New Roman;serif" w:hAnsi="Times New Roman;serif"/>
          <w:b w:val="false"/>
          <w:color w:val="000000"/>
          <w:sz w:val="20"/>
        </w:rPr>
        <w:t>Because we were privately held prior to the Merger and do not have sufficient active trading market history for our common stock, we determined expected volatility based on the average volatility for publicly traded companies that we consider to be comparable, over a period equal to the expected term assumption. Comparable companies are chosen based on their similar size, stage in the life cycle or industry.</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risk-free interest rate is based on the U.S. Treasury yield curve in effect at the time of grant of the award for time periods approximately equal to the expected term of award.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i/>
          <w:color w:val="000000"/>
          <w:sz w:val="20"/>
        </w:rPr>
        <w:t xml:space="preserve">Expected Dividend </w:t>
      </w:r>
      <w:r>
        <w:rPr>
          <w:color w:val="000000"/>
        </w:rPr>
        <w:t>– </w:t>
      </w:r>
      <w:r>
        <w:rPr>
          <w:rFonts w:ascii="Times New Roman;serif" w:hAnsi="Times New Roman;serif"/>
          <w:b w:val="false"/>
          <w:color w:val="000000"/>
          <w:sz w:val="20"/>
        </w:rPr>
        <w:t>The expected dividend yield assumption is zero as we have never paid and have no plans to pay dividends on our common stock in the foreseeable future.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Valuation of Financial Instruments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issued certain financial instruments, such as second lien loans, SAFEs, redeemable convertible preferred stock warrant liabilities, and common stock warrant liabilities that require (i) a higher degree of judgment in estimating their fair values as of each reporting period and (ii) the use of valuation models that are dependent on management estimates and assumptions, primarily related to expected volatility, expected term, probabilities of triggering events, discount rates and risk-free interest rates. Generally, expected volatility is determined based on the historical equity volatility of comparable companies over a period that matches the expected term of the instrument. The expected term is based on the contractual term or management’s best estimate based on the timing of certain events. The probability of a triggering event is based on management’s best estimate of the events occurring. The discount interest rate is generally based on the rate implied by the transaction as well as comparable companies and the risk-free interest rate is based on relevant U.S. Treasury rates for a period that matches the expected term of the instrument. If actual results are not consistent with our estimates or assumptions, the valuations underlying the issued financial instruments could be materially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2 of our unaudited condensed financial statements included in Part I, Item 1 of this Quarterly Report for more information about recent accounting pronouncements that may potentially have an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One Big Beautiful Bill Act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signed into law. The Company evaluated the potential impact of the OBBBA legislation on its financial position, results of operations and cash flows. However, due to the Company’s taxable loss position and valuation allowance on its deferred tax assets, the OBBBA did not have a material impact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and operational risks, including changes in interest rates and inflation, as well as risks related to the availability of funding sources, hazard events, and certain asset exposures.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impact on our business, financial condition, or results of operations, apart from its effects on the general economy. We continue to monitor inflationary trends, including the 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Quarterly Report.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have concluded that, as of such date, our disclosure controls and procedures were effective.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13a-15(f)or 15d-15(f) of the Exchange Act during the period covered by this Quarterly Report,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deciding to invest in or to maintain an investment in our securities,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thereto included elsewhere in this Quarterly Report. Our business, as well as our reputation, financial condition, results of operations and price of our securities could also be adversely affected any of these risks and other risks and uncertainties not currently known to us or that we currently do not believe are material. In that event, the market price of our securities could decline, and you could lose part or all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is emerging and rapidly evolving and involves significant risks and uncertainties.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have incurred net losses since inception and may not achieve or maintain profitability.</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failure to commercialize our solution at scale may have an adverse effect on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a limited number of customers for a significant portion of our revenue.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We depend on our commercial agreements with </w:t>
      </w:r>
      <w:r>
        <w:rPr>
          <w:rFonts w:ascii="Times New Roman;serif" w:hAnsi="Times New Roman;serif"/>
          <w:b w:val="false"/>
          <w:color w:val="231F20"/>
          <w:sz w:val="20"/>
        </w:rPr>
        <w:t>Atlas Energy Solutions (“Atlas”)</w:t>
      </w:r>
      <w:r>
        <w:rPr>
          <w:rFonts w:ascii="Times New Roman;serif" w:hAnsi="Times New Roman;serif"/>
          <w:b w:val="false"/>
          <w:color w:val="000000"/>
          <w:sz w:val="20"/>
        </w:rPr>
        <w:t>.</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presents the risk of significant injury, including fatalities.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Kodiak Driver, our virtual driver system that combines advanced AI-powered software with modular, vehicle-agnostic hardware, may not function as intended due to flaws or errors in our software, hardware, and systems, product defects, or due to human error.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flaws or misuse of autonomous vehicle (</w:t>
      </w:r>
      <w:r>
        <w:rPr>
          <w:color w:val="231F20"/>
        </w:rPr>
        <w:t>“</w:t>
      </w:r>
      <w:r>
        <w:rPr>
          <w:rFonts w:ascii="Times New Roman;serif" w:hAnsi="Times New Roman;serif"/>
          <w:b w:val="false"/>
          <w:color w:val="231F20"/>
          <w:sz w:val="20"/>
        </w:rPr>
        <w:t>AV”</w:t>
      </w:r>
      <w:r>
        <w:rPr>
          <w:rFonts w:ascii="Times New Roman;serif" w:hAnsi="Times New Roman;serif"/>
          <w:b w:val="false"/>
          <w:color w:val="000000"/>
          <w:sz w:val="20"/>
        </w:rPr>
        <w:t>) technology, whether actual or perceived, intended or inadvertent, by us or third parties,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operate in a highly competitive market, and we may be unable to compete effectively, including against competitors who may have greater resources.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success is contingent on our ability to execute our Driver-as-a-Service (</w:t>
      </w:r>
      <w:r>
        <w:rPr>
          <w:color w:val="231F20"/>
        </w:rPr>
        <w:t>“</w:t>
      </w:r>
      <w:r>
        <w:rPr>
          <w:rFonts w:ascii="Times New Roman;serif" w:hAnsi="Times New Roman;serif"/>
          <w:b w:val="false"/>
          <w:color w:val="000000"/>
          <w:sz w:val="20"/>
        </w:rPr>
        <w:t>DaaS</w:t>
      </w:r>
      <w:r>
        <w:rPr>
          <w:color w:val="231F20"/>
        </w:rPr>
        <w:t>”</w:t>
      </w:r>
      <w:r>
        <w:rPr>
          <w:rFonts w:ascii="Times New Roman;serif" w:hAnsi="Times New Roman;serif"/>
          <w:b w:val="false"/>
          <w:color w:val="000000"/>
          <w:sz w:val="20"/>
        </w:rPr>
        <w:t>) business model, including by maintaining, managing, retaining, and expanding our existing customer relationships and obtaining new customers.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depend on the experience and expertise of our senior management team, engineers, and certain other key employees.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our third-party suppliers, OEMs, upfitters, service providers and partners, some of which are single or limited-source suppliers or providers of certain key components for, and services used in connection with, the Kodiak Driver.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are subject to substantial regulations, including regulations governing motor carriers and autonomous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not be able to adequately establish, maintain, protect, and enforce our technology and intellectual property rights or prevent others from unauthorized use of our technology and intellectual property rights.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be subject to intellectual property infringement claims, which, whether meritless or not, may be expensive and time consuming to defend, distract management, require us to pay significant damages and limit our ability to use certain technologies.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 significant portion of our historical revenue has come from our contracts with the U.S. Department of War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require significant capital to fund our operations and growth.</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Real or perceived inaccuracies in our assumptions and estimates to calculate certain metrics, including our Cumulative Hours of Paid Driverless Operations.</w:t>
      </w:r>
    </w:p>
    <w:p>
      <w:pPr>
        <w:pStyle w:val="TextBody"/>
        <w:bidi w:val="0"/>
        <w:spacing w:lineRule="auto" w:line="268" w:before="0" w:after="0"/>
        <w:ind w:left="0" w:right="0" w:hanging="475"/>
        <w:jc w:val="left"/>
        <w:rPr/>
      </w:pPr>
      <w:r>
        <w:rPr>
          <w:color w:val="000000"/>
        </w:rPr>
        <w:t>•</w:t>
      </w:r>
      <w:r>
        <w:rPr>
          <w:rFonts w:ascii="Times New Roman;serif" w:hAnsi="Times New Roman;serif"/>
          <w:b w:val="false"/>
          <w:color w:val="000000"/>
          <w:sz w:val="20"/>
        </w:rPr>
        <w:t>General business and economic conditions, and risks related to the long-haul trucking, industrial trucking, oil and gas, and defense industries ecosystems,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There is no guarantee that the Public Warrants will ever be in the money, and they may expire worthless.</w:t>
      </w:r>
    </w:p>
    <w:p>
      <w:pPr>
        <w:pStyle w:val="TextBody"/>
        <w:bidi w:val="0"/>
        <w:spacing w:lineRule="auto" w:line="288" w:before="0" w:after="360"/>
        <w:ind w:left="0" w:right="0" w:hanging="475"/>
        <w:jc w:val="left"/>
        <w:rPr/>
      </w:pPr>
      <w:r>
        <w:rPr>
          <w:color w:val="000000"/>
        </w:rPr>
        <w:t>•</w:t>
      </w:r>
      <w:r>
        <w:rPr>
          <w:rFonts w:ascii="Times New Roman;serif" w:hAnsi="Times New Roman;serif"/>
          <w:b w:val="false"/>
          <w:color w:val="000000"/>
          <w:sz w:val="20"/>
        </w:rPr>
        <w:t>Your Public Warrants may be redeemed prior to their exercise at a time that is disadvantageous to you.</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AV technology is an emerging and rapidly evolving technology and involves significant risks and uncertainties, any of which could impede or delay our ability to scale.</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not succeed at commercial scale, or at all. The successful commercialization of the Kodiak Driver at scale involves many challenges and uncertainties, including:</w:t>
      </w:r>
    </w:p>
    <w:p>
      <w:pPr>
        <w:pStyle w:val="TextBody"/>
        <w:bidi w:val="0"/>
        <w:spacing w:lineRule="auto" w:line="288" w:before="121" w:after="283"/>
        <w:ind w:left="0" w:right="0" w:hanging="475"/>
        <w:jc w:val="left"/>
        <w:rPr>
          <w:color w:val="231F20"/>
        </w:rPr>
      </w:pPr>
      <w:r>
        <w:rPr>
          <w:color w:val="231F20"/>
        </w:rPr>
        <w:t>•    </w:t>
      </w:r>
      <w:r>
        <w:rPr>
          <w:rFonts w:ascii="Times New Roman;serif" w:hAnsi="Times New Roman;serif"/>
          <w:b w:val="false"/>
          <w:color w:val="231F20"/>
          <w:sz w:val="20"/>
        </w:rPr>
        <w:t>achieving acceptably safe autonomous performance as determined by us, our customers, government and regulatory agencies, our partners and the general public;</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continued development of the Kodiak Driver, including system design, product features, vehicle integrations and operating domain and geographical expansion, based on the needs of our customers;</w:t>
      </w:r>
    </w:p>
    <w:p>
      <w:pPr>
        <w:pStyle w:val="TextBody"/>
        <w:bidi w:val="0"/>
        <w:spacing w:lineRule="auto" w:line="288" w:before="121" w:after="283"/>
        <w:ind w:left="0" w:right="0" w:hanging="475"/>
        <w:jc w:val="both"/>
        <w:rPr>
          <w:color w:val="231F20"/>
        </w:rPr>
      </w:pPr>
      <w:r>
        <w:rPr>
          <w:color w:val="231F20"/>
        </w:rPr>
        <w:t>•    </w:t>
      </w:r>
      <w:r>
        <w:rPr>
          <w:rFonts w:ascii="Times New Roman;serif" w:hAnsi="Times New Roman;serif"/>
          <w:b w:val="false"/>
          <w:color w:val="231F20"/>
          <w:sz w:val="20"/>
        </w:rPr>
        <w:t>successfully completing system testing, validation, and to the extent required, safety approvals, including with respect to government and regulatory agencies and customer- or partner-specific requirements;</w:t>
      </w:r>
    </w:p>
    <w:p>
      <w:pPr>
        <w:pStyle w:val="TextBody"/>
        <w:bidi w:val="0"/>
        <w:spacing w:lineRule="auto" w:line="288" w:before="123" w:after="283"/>
        <w:ind w:left="0" w:right="0" w:hanging="475"/>
        <w:jc w:val="left"/>
        <w:rPr>
          <w:color w:val="231F20"/>
        </w:rPr>
      </w:pPr>
      <w:r>
        <w:rPr>
          <w:color w:val="231F20"/>
        </w:rPr>
        <w:t>•    </w:t>
      </w:r>
      <w:r>
        <w:rPr>
          <w:rFonts w:ascii="Times New Roman;serif" w:hAnsi="Times New Roman;serif"/>
          <w:b w:val="false"/>
          <w:color w:val="231F20"/>
          <w:sz w:val="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preserving our core intellectual property rights and obtaining rights from third parties for intellectual property that may be critical to our current and future research and development activities;</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continuing to fund and maintain our technology development activities while scaling our commercial operations; and</w:t>
      </w:r>
    </w:p>
    <w:p>
      <w:pPr>
        <w:pStyle w:val="TextBody"/>
        <w:bidi w:val="0"/>
        <w:spacing w:lineRule="auto" w:line="288" w:before="122" w:after="240"/>
        <w:ind w:left="0" w:right="0" w:hanging="475"/>
        <w:jc w:val="left"/>
        <w:rPr>
          <w:color w:val="231F20"/>
        </w:rPr>
      </w:pPr>
      <w:r>
        <w:rPr>
          <w:color w:val="231F20"/>
        </w:rPr>
        <w:t>•    </w:t>
      </w:r>
      <w:r>
        <w:rPr>
          <w:rFonts w:ascii="Times New Roman;serif" w:hAnsi="Times New Roman;serif"/>
          <w:b w:val="false"/>
          <w:color w:val="231F20"/>
          <w:sz w:val="20"/>
        </w:rPr>
        <w:t>obtaining or maintaining approvals, licenses, or certifications from regulatory agencies, if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net losses since inception, and we may not achieve or maintain profitability in the future.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have incurred net losses since our inception. During the year ended December 31, 2024 and 2023 and the nine months ended September 30, 2025, we incurred net losses of $69.5 million, $57.0 million, and $511.8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serif" w:hAnsi="Times New Roman;serif"/>
          <w:b w:val="false"/>
          <w:color w:val="231F20"/>
          <w:sz w:val="20"/>
        </w:rPr>
        <w:t>in this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color w:val="231F20"/>
          <w:sz w:val="20"/>
        </w:rPr>
        <w:t>section. If we are unable to successfully address these risks as we encounter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Legacy Kodiak was founded in 2018, and since then we have been focused on developing driverless technology. We began driverless commercial operations in December 2024. Our limited operating history makes it difficult to evaluate our future prospects and the risks and challenges we may encounter. Risks and challenges we have faced or expect to face include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 test, and validate the Kodiak Driver for the variety of commercial applications and environments in which we plan to deploy, such as on-highway and off-highway operations, industrial applications, and defense applications;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produce and deliver our technology at an acceptable level of safety and performance;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price our solution;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plan for and manage our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hire, integrate, and retain talented people;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forecast our revenue as well as budget for and manage our expenses;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attract new partners and customers and retain and expand our deployment with existing partners and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navigate an evolving and complex regulatory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manage our supply chain and supplier relationships, including any tariff-related impacts on our supply chain;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effectively manage our growth and business operations, including the impacts of unforeseen market changes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protect intellectual property;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successfully develop new features, applications, and services to enhance the experience of our customers.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unproven. Any failure to meet our technological and commercialization objectives may adversely affect our business, financial condition,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Kodiak Driver may not be accepted and adopted by the market, the public, regulators or other stakeholders at the pace we expect or at all.</w:t>
      </w:r>
    </w:p>
    <w:p>
      <w:pPr>
        <w:pStyle w:val="TextBody"/>
        <w:bidi w:val="0"/>
        <w:spacing w:lineRule="auto" w:line="288" w:before="11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pStyle w:val="TextBody"/>
        <w:bidi w:val="0"/>
        <w:spacing w:lineRule="auto" w:line="288" w:before="228"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the market does not accept and adopt our services and technology at the pace we expect or at all, it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failure to commercialize our solution at scale may have an adverse effect on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supplemented, the “Atlas MSA”). Relationships with Atlas and other current customers are important to our existing operations. We also need to both successfully scale driverless operations with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a limited number of customers for a significant portion of our revenue. The loss of, or a reduction in our commercial relationship with, any of those customers may adversely affect our business, financial condition, and results of operations.</w:t>
      </w:r>
    </w:p>
    <w:p>
      <w:pPr>
        <w:pStyle w:val="TextBody"/>
        <w:bidi w:val="0"/>
        <w:spacing w:lineRule="auto" w:line="288" w:before="0" w:after="0"/>
        <w:ind w:left="0" w:right="0" w:firstLine="490"/>
        <w:jc w:val="left"/>
        <w:rPr/>
      </w:pPr>
      <w:r>
        <w:rPr>
          <w:rFonts w:ascii="Times New Roman;serif" w:hAnsi="Times New Roman;serif"/>
          <w:b w:val="false"/>
          <w:color w:val="231F20"/>
          <w:sz w:val="20"/>
        </w:rPr>
        <w:t xml:space="preserve">A significant portion of our revenue has been generated from a limited number of customers, and we expect that to continue in the near term. For example, for the years ended </w:t>
      </w:r>
      <w:r>
        <w:rPr>
          <w:rFonts w:ascii="Times New Roman;serif" w:hAnsi="Times New Roman;serif"/>
          <w:b w:val="false"/>
          <w:color w:val="000000"/>
          <w:sz w:val="20"/>
        </w:rPr>
        <w:t>December 31, 2023</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2024</w:t>
      </w:r>
      <w:r>
        <w:rPr>
          <w:color w:val="231F20"/>
        </w:rPr>
        <w:t xml:space="preserve"> </w:t>
      </w:r>
      <w:r>
        <w:rPr>
          <w:rFonts w:ascii="Times New Roman;serif" w:hAnsi="Times New Roman;serif"/>
          <w:b w:val="false"/>
          <w:color w:val="231F20"/>
          <w:sz w:val="20"/>
        </w:rPr>
        <w:t xml:space="preserve">and the </w:t>
      </w:r>
      <w:r>
        <w:rPr>
          <w:rFonts w:ascii="Times New Roman;serif" w:hAnsi="Times New Roman;serif"/>
          <w:b w:val="false"/>
          <w:color w:val="000000"/>
          <w:sz w:val="20"/>
        </w:rPr>
        <w:t>nine months ended</w:t>
      </w:r>
      <w:r>
        <w:rPr>
          <w:color w:val="231F20"/>
        </w:rPr>
        <w:t xml:space="preserve">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we recognized revenue from the U.S. Army of </w:t>
      </w:r>
      <w:r>
        <w:rPr>
          <w:rFonts w:ascii="Times New Roman;serif" w:hAnsi="Times New Roman;serif"/>
          <w:b w:val="false"/>
          <w:color w:val="000000"/>
          <w:sz w:val="20"/>
        </w:rPr>
        <w:t>$15.0 million</w:t>
      </w:r>
      <w:r>
        <w:rPr>
          <w:rFonts w:ascii="Times New Roman;serif" w:hAnsi="Times New Roman;serif"/>
          <w:b w:val="false"/>
          <w:color w:val="231F20"/>
          <w:sz w:val="20"/>
        </w:rPr>
        <w:t xml:space="preserve">, </w:t>
      </w:r>
      <w:r>
        <w:rPr>
          <w:rFonts w:ascii="Times New Roman;serif" w:hAnsi="Times New Roman;serif"/>
          <w:b w:val="false"/>
          <w:color w:val="000000"/>
          <w:sz w:val="20"/>
        </w:rPr>
        <w:t>$13.3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$1.0 million</w:t>
      </w:r>
      <w:r>
        <w:rPr>
          <w:rFonts w:ascii="Times New Roman;serif" w:hAnsi="Times New Roman;serif"/>
          <w:b w:val="false"/>
          <w:color w:val="231F20"/>
          <w:sz w:val="20"/>
        </w:rPr>
        <w:t xml:space="preserve">, respectively, which represented </w:t>
      </w:r>
      <w:r>
        <w:rPr>
          <w:rFonts w:ascii="Times New Roman;serif" w:hAnsi="Times New Roman;serif"/>
          <w:b w:val="false"/>
          <w:color w:val="000000"/>
          <w:sz w:val="20"/>
        </w:rPr>
        <w:t>89%</w:t>
      </w:r>
      <w:r>
        <w:rPr>
          <w:rFonts w:ascii="Times New Roman;serif" w:hAnsi="Times New Roman;serif"/>
          <w:b w:val="false"/>
          <w:color w:val="231F20"/>
          <w:sz w:val="20"/>
        </w:rPr>
        <w:t xml:space="preserve">, </w:t>
      </w:r>
      <w:r>
        <w:rPr>
          <w:rFonts w:ascii="Times New Roman;serif" w:hAnsi="Times New Roman;serif"/>
          <w:b w:val="false"/>
          <w:color w:val="000000"/>
          <w:sz w:val="20"/>
        </w:rPr>
        <w:t>89%,</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36%</w:t>
      </w:r>
      <w:r>
        <w:rPr>
          <w:rFonts w:ascii="Times New Roman;serif" w:hAnsi="Times New Roman;serif"/>
          <w:b w:val="false"/>
          <w:color w:val="231F20"/>
          <w:sz w:val="20"/>
        </w:rPr>
        <w:t>, respectively, of our revenues in such periods. While our contract with the U.S. Army was amended and is still effective and the contract may be used for other work through its expiration on February 21, 2026, there are no currently contracted deliverables to be completed. Government contracts, and associated revenue, particularly those with the DoW and the U.S. Army,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120"/>
        <w:ind w:left="0" w:right="0" w:firstLine="450"/>
        <w:jc w:val="left"/>
        <w:rPr/>
      </w:pPr>
      <w:r>
        <w:rPr>
          <w:rFonts w:ascii="Times New Roman;serif" w:hAnsi="Times New Roman;serif"/>
          <w:b w:val="false"/>
          <w:color w:val="231F20"/>
          <w:sz w:val="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in the three and nine months ended September 30, 2025, we recognized revenue from Atlas of </w:t>
      </w:r>
      <w:r>
        <w:rPr>
          <w:rFonts w:ascii="Times New Roman;serif" w:hAnsi="Times New Roman;serif"/>
          <w:b w:val="false"/>
          <w:color w:val="000000"/>
          <w:sz w:val="20"/>
        </w:rPr>
        <w:t>$0.5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$0.9 million</w:t>
      </w:r>
      <w:r>
        <w:rPr>
          <w:rFonts w:ascii="Times New Roman;serif" w:hAnsi="Times New Roman;serif"/>
          <w:b w:val="false"/>
          <w:color w:val="231F20"/>
          <w:sz w:val="20"/>
        </w:rPr>
        <w:t xml:space="preserve">, respectively, which represented </w:t>
      </w:r>
      <w:r>
        <w:rPr>
          <w:rFonts w:ascii="Times New Roman;serif" w:hAnsi="Times New Roman;serif"/>
          <w:b w:val="false"/>
          <w:color w:val="000000"/>
          <w:sz w:val="20"/>
        </w:rPr>
        <w:t>68%</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34%</w:t>
      </w:r>
      <w:r>
        <w:rPr>
          <w:color w:val="231F20"/>
        </w:rPr>
        <w:t xml:space="preserve"> </w:t>
      </w:r>
      <w:r>
        <w:rPr>
          <w:rFonts w:ascii="Times New Roman;serif" w:hAnsi="Times New Roman;serif"/>
          <w:b w:val="false"/>
          <w:color w:val="231F20"/>
          <w:sz w:val="20"/>
        </w:rPr>
        <w:t>of our total revenue, respectively.</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pStyle w:val="TextBody"/>
        <w:bidi w:val="0"/>
        <w:spacing w:lineRule="auto" w:line="288" w:before="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depend heavily on our commercial agreements with Atlas. If we are not able to maintain and expand our relationship with Atlas, our business, financial condition and results of operations may be adversely affected.</w:t>
      </w:r>
    </w:p>
    <w:p>
      <w:pPr>
        <w:pStyle w:val="TextBody"/>
        <w:bidi w:val="0"/>
        <w:spacing w:lineRule="auto" w:line="288" w:before="13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of September 30, 2025, Atlas is our sole customer with driverless vehicles integrated into their fleet. Until we have scaled our business, we expect the Atlas MSA to account for a significant and growing portion of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Atlas is not required to license the Kodiak Driver in any additional trucks beyond this figure. Atlas may also license the Kodiak Driver slower than anticipated, which may be exacerbated by the volatility and swings in productivity that have historically affected oil and gas industry participants.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pStyle w:val="TextBody"/>
        <w:bidi w:val="0"/>
        <w:spacing w:lineRule="auto" w:line="288" w:before="0" w:after="120"/>
        <w:jc w:val="left"/>
        <w:rPr>
          <w:rFonts w:ascii="Times New Roman;serif" w:hAnsi="Times New Roman;serif"/>
          <w:b/>
          <w:i/>
          <w:color w:val="231F20"/>
          <w:sz w:val="20"/>
        </w:rPr>
      </w:pPr>
      <w:r>
        <w:rPr>
          <w:rFonts w:ascii="Times New Roman;serif" w:hAnsi="Times New Roman;serif"/>
          <w:b/>
          <w:i/>
          <w:color w:val="231F20"/>
          <w:sz w:val="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Federal Motor Vehicle Safety Standards (“FMVSSs”). Such recalls involve significant expense and diversion of management attention and other resources, which may adversely affect our brand image in our target markets, as well as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Kodiak Driver may not function as intended due to flaws or errors in our software, hardware, and systems, product defects, or due to human error, which may adversely affect our business.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flaws or misuse of AV technology, whether actual or perceived, intended or inadvertent, by us or third parties, may adversely affect our business, financial condition and results of operations.</w:t>
      </w:r>
    </w:p>
    <w:p>
      <w:pPr>
        <w:pStyle w:val="TextBody"/>
        <w:bidi w:val="0"/>
        <w:spacing w:lineRule="auto" w:line="288" w:before="12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pStyle w:val="TextBody"/>
        <w:bidi w:val="0"/>
        <w:spacing w:lineRule="auto" w:line="288" w:before="0" w:after="12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pStyle w:val="TextBody"/>
        <w:bidi w:val="0"/>
        <w:spacing w:lineRule="auto" w:line="288" w:before="0" w:after="120"/>
        <w:jc w:val="left"/>
        <w:rPr>
          <w:rFonts w:ascii="Times New Roman;serif" w:hAnsi="Times New Roman;serif"/>
          <w:b/>
          <w:i/>
          <w:color w:val="231F20"/>
          <w:sz w:val="20"/>
        </w:rPr>
      </w:pPr>
      <w:r>
        <w:rPr>
          <w:rFonts w:ascii="Times New Roman;serif" w:hAnsi="Times New Roman;serif"/>
          <w:b/>
          <w:i/>
          <w:color w:val="231F20"/>
          <w:sz w:val="20"/>
        </w:rPr>
        <w:t>We publicly disclose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publicly disclose a measure of our progress toward the long-haul launch of the Kodiak Driver (the “Autonomy Readiness Measure”). The Autonomy Readiness Measure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Autonomy Readiness Measure, including the fact that management judgment is used, including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Autonomy Readiness Measure. If our Autonomy Readiness Measure is not an accurate representation of our progress toward long-haul launch, or investors perceive this measure not to be accurate, or we discover material inaccuracies in the safety case or our calculations of the Autonomy Readiness Measure, our 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internal systems and tools have a number of limitations, and our methodologies for tracking the Autonomy Readiness Measure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pStyle w:val="TextBody"/>
        <w:bidi w:val="0"/>
        <w:spacing w:lineRule="auto" w:line="288" w:before="0" w:after="120"/>
        <w:jc w:val="left"/>
        <w:rPr>
          <w:rFonts w:ascii="Times New Roman;serif" w:hAnsi="Times New Roman;serif"/>
          <w:b/>
          <w:i/>
          <w:color w:val="231F20"/>
          <w:sz w:val="20"/>
        </w:rPr>
      </w:pPr>
      <w:r>
        <w:rPr>
          <w:rFonts w:ascii="Times New Roman;serif" w:hAnsi="Times New Roman;serif"/>
          <w:b/>
          <w:i/>
          <w:color w:val="231F20"/>
          <w:sz w:val="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pStyle w:val="TextBody"/>
        <w:bidi w:val="0"/>
        <w:spacing w:lineRule="auto" w:line="288" w:before="12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or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operate in a highly competitive market and some market participants have substantially greater resources. If we are unable to compete effectively, our business, financial condition and results of operations may be adversely affected.</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experience difficulties in managing our growth and expanding our operations.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expect to experience significant growth in the scope and nature of our operations and commercial deployments. Our ability to manage our operations and future growth will require us to continue to improve our operational, financial and management controls, compliance programs, and business processes. We are currently in the process of strengthening our compliance programs, including in relation to cybersecurity, privacy and anti- 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success is contingent on our ability to successfully execute our DaaS business model, including by maintaining, managing, executing, retaining, and expanding our existing customer relationships and obtaining new customers.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pStyle w:val="TextBody"/>
        <w:bidi w:val="0"/>
        <w:spacing w:lineRule="auto" w:line="288" w:before="0" w:after="120"/>
        <w:jc w:val="left"/>
        <w:rPr>
          <w:rFonts w:ascii="Times New Roman;serif" w:hAnsi="Times New Roman;serif"/>
          <w:b/>
          <w:i/>
          <w:color w:val="231F20"/>
          <w:sz w:val="20"/>
        </w:rPr>
      </w:pPr>
      <w:r>
        <w:rPr>
          <w:rFonts w:ascii="Times New Roman;serif" w:hAnsi="Times New Roman;serif"/>
          <w:b/>
          <w:i/>
          <w:color w:val="231F20"/>
          <w:sz w:val="20"/>
        </w:rPr>
        <w:t>Our inability to plan and manage our costs may adversely affect our business, financial condition, and results of operations.</w:t>
      </w:r>
    </w:p>
    <w:p>
      <w:pPr>
        <w:pStyle w:val="TextBody"/>
        <w:bidi w:val="0"/>
        <w:spacing w:lineRule="auto" w:line="288" w:before="145"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14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is currently significant uncertainty about the future relationship between the United States and its trading partners with respect to trade policies, tariffs, and similar policies affecting cross-border operations. The</w:t>
      </w:r>
    </w:p>
    <w:p>
      <w:pPr>
        <w:pStyle w:val="TextBody"/>
        <w:bidi w:val="0"/>
        <w:spacing w:lineRule="auto" w:line="288" w:before="2" w:after="120"/>
        <w:ind w:left="0" w:right="0" w:firstLine="490"/>
        <w:jc w:val="left"/>
        <w:rPr/>
      </w:pPr>
      <w:r>
        <w:rPr>
          <w:rFonts w:ascii="Times New Roman;serif" w:hAnsi="Times New Roman;serif"/>
          <w:b w:val="false"/>
          <w:color w:val="231F20"/>
          <w:sz w:val="20"/>
        </w:rPr>
        <w:t xml:space="preserve">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since February 2025, the United States has imposed additional 10-35% fentanyl-related tariffs on certain goods from China, </w:t>
      </w:r>
      <w:r>
        <w:rPr>
          <w:rFonts w:ascii="Times New Roman;serif" w:hAnsi="Times New Roman;serif"/>
          <w:b w:val="false"/>
          <w:color w:val="000000"/>
          <w:sz w:val="20"/>
        </w:rPr>
        <w:t>Canada, and Mexico with exceptions for items qualifying for duty-free treatment under the U.S.-Mexico-Canada Agreement (“USMCA”).</w:t>
      </w:r>
      <w:r>
        <w:rPr>
          <w:color w:val="231F20"/>
        </w:rPr>
        <w:t xml:space="preserve"> </w:t>
      </w:r>
      <w:r>
        <w:rPr>
          <w:rFonts w:ascii="Times New Roman;serif" w:hAnsi="Times New Roman;serif"/>
          <w:b w:val="false"/>
          <w:color w:val="231F20"/>
          <w:sz w:val="20"/>
        </w:rPr>
        <w:t xml:space="preserve">The U.S. Government has also implemented Section 232 tariffs on various </w:t>
      </w:r>
      <w:r>
        <w:rPr>
          <w:rFonts w:ascii="Times New Roman;serif" w:hAnsi="Times New Roman;serif"/>
          <w:b w:val="false"/>
          <w:color w:val="000000"/>
          <w:sz w:val="20"/>
        </w:rPr>
        <w:t>items</w:t>
      </w:r>
      <w:r>
        <w:rPr>
          <w:color w:val="231F20"/>
        </w:rPr>
        <w:t xml:space="preserve"> </w:t>
      </w:r>
      <w:r>
        <w:rPr>
          <w:rFonts w:ascii="Times New Roman;serif" w:hAnsi="Times New Roman;serif"/>
          <w:b w:val="false"/>
          <w:color w:val="231F20"/>
          <w:sz w:val="20"/>
        </w:rPr>
        <w:t xml:space="preserve">based on a finding that certain imports threaten to impair U.S.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2" w:after="120"/>
        <w:jc w:val="left"/>
        <w:rPr/>
      </w:pPr>
      <w:r>
        <w:rPr>
          <w:rFonts w:ascii="Times New Roman;serif" w:hAnsi="Times New Roman;serif"/>
          <w:b w:val="false"/>
          <w:color w:val="231F20"/>
          <w:sz w:val="20"/>
        </w:rPr>
        <w:t>security</w:t>
      </w:r>
      <w:r>
        <w:rPr>
          <w:rFonts w:ascii="Times New Roman;serif" w:hAnsi="Times New Roman;serif"/>
          <w:b w:val="false"/>
          <w:color w:val="000000"/>
          <w:sz w:val="20"/>
        </w:rPr>
        <w:t xml:space="preserve">, including but not limited to certain articles of steel and aluminum (currently 50%); passenger vehicles, trucks, and automotive components (currently 25%); and articles of copper (currently 50%). </w:t>
      </w:r>
      <w:r>
        <w:rPr>
          <w:rFonts w:ascii="Times New Roman;serif" w:hAnsi="Times New Roman;serif"/>
          <w:b w:val="false"/>
          <w:color w:val="231F20"/>
          <w:sz w:val="20"/>
        </w:rPr>
        <w:t xml:space="preserve">In addition, the U.S. Department of Commerce has initiated Section 232 investigations into additional products, including semiconductors and related manufacturing equipment, processed critical minerals, and derivative products; when these investigations are complete, the U.S. Government may decide to levy additional tariffs on such products. </w:t>
      </w:r>
      <w:r>
        <w:rPr>
          <w:rFonts w:ascii="Times New Roman;serif" w:hAnsi="Times New Roman;serif"/>
          <w:b w:val="false"/>
          <w:color w:val="000000"/>
          <w:sz w:val="20"/>
        </w:rPr>
        <w:t xml:space="preserve">The U.S. Government has also imposed, increased, or maintained Section 301 tariffs of 7.5%-100% on certain commodities from certain U.S. trading partners, most prominently China and Brazil. </w:t>
      </w:r>
      <w:r>
        <w:rPr>
          <w:rFonts w:ascii="Times New Roman;serif" w:hAnsi="Times New Roman;serif"/>
          <w:b w:val="false"/>
          <w:color w:val="231F20"/>
          <w:sz w:val="20"/>
        </w:rPr>
        <w:t>Since April 2025, the U.S. Government has also imposed additional reciprocal tariffs of between 10%-125% on imports from most U.S. trading partners, with certain products exempt from these reciprocal tariff measures, including but not limited to items subject to Section 232 tariffs and certain semiconductors, computers, and other products derivative of critical minerals. However, the scope of these tariffs and exclusions is subject to change. The recent changes in tariff and trade policy underscore the uncertainty regarding the future relationships between the United States and its trading partners.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response to these and other U.S. trade measures, China, Canada, and other affected countries have taken retaliatory actions to respond. Such actions include the imposition of retaliatory tariffs on imports of products of</w:t>
      </w:r>
    </w:p>
    <w:p>
      <w:pPr>
        <w:pStyle w:val="TextBody"/>
        <w:bidi w:val="0"/>
        <w:spacing w:lineRule="auto" w:line="288" w:before="2" w:after="120"/>
        <w:ind w:left="0" w:right="0" w:firstLine="490"/>
        <w:jc w:val="left"/>
        <w:rPr/>
      </w:pPr>
      <w:r>
        <w:rPr>
          <w:rFonts w:ascii="Times New Roman;serif" w:hAnsi="Times New Roman;serif"/>
          <w:b w:val="false"/>
          <w:color w:val="231F20"/>
          <w:sz w:val="20"/>
        </w:rPr>
        <w:t>U.S. origin, the imposition of export controls on a wide array of products (including rare earth metals and other critical minerals), as well as other actions. The adoption of retaliatory actions by China prompted the United</w:t>
      </w:r>
      <w:r>
        <w:rPr>
          <w:color w:val="000000"/>
        </w:rPr>
        <w:t xml:space="preserve"> </w:t>
      </w:r>
      <w:r>
        <w:rPr>
          <w:rFonts w:ascii="Times New Roman;serif" w:hAnsi="Times New Roman;serif"/>
          <w:b w:val="false"/>
          <w:color w:val="231F20"/>
          <w:sz w:val="20"/>
        </w:rPr>
        <w:t>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pStyle w:val="TextBody"/>
        <w:bidi w:val="0"/>
        <w:spacing w:lineRule="auto" w:line="288" w:before="12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pStyle w:val="TextBody"/>
        <w:bidi w:val="0"/>
        <w:spacing w:lineRule="auto" w:line="288" w:before="0" w:after="12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pStyle w:val="TextBody"/>
        <w:bidi w:val="0"/>
        <w:spacing w:lineRule="auto" w:line="288" w:before="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rely on our third-party suppliers, OEMs, upfitters, services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pStyle w:val="TextBody"/>
        <w:bidi w:val="0"/>
        <w:spacing w:lineRule="auto" w:line="288" w:before="12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partners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investigations, litigation, or penalties, any of which may adversely affect our business, financial condition, and results of operations.</w:t>
      </w:r>
    </w:p>
    <w:p>
      <w:pPr>
        <w:pStyle w:val="TextBody"/>
        <w:bidi w:val="0"/>
        <w:spacing w:lineRule="auto" w:line="288" w:before="124"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and continue to develop measures designed to protect us against security breaches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24" w:after="120"/>
        <w:jc w:val="left"/>
        <w:rPr>
          <w:rFonts w:ascii="Times New Roman;serif" w:hAnsi="Times New Roman;serif"/>
          <w:b w:val="false"/>
          <w:color w:val="231F20"/>
          <w:sz w:val="20"/>
        </w:rPr>
      </w:pPr>
      <w:r>
        <w:rPr>
          <w:rFonts w:ascii="Times New Roman;serif" w:hAnsi="Times New Roman;serif"/>
          <w:b w:val="false"/>
          <w:color w:val="231F20"/>
          <w:sz w:val="20"/>
        </w:rPr>
        <w:t>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Interruptions, outages, or failures of information technology and communications infrastructure and systems that we rely upon may adversely affect our business, financial condition, and results of operations.</w:t>
      </w:r>
    </w:p>
    <w:p>
      <w:pPr>
        <w:pStyle w:val="TextBody"/>
        <w:bidi w:val="0"/>
        <w:spacing w:lineRule="auto" w:line="288" w:before="121"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communications, infrastructure, third-party cloud hosting providers or similar systems may result in lengthy interruptions to our business, adversely affecting our business, financial condition and results of operations.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Risks Related to the Government Contracts</w:t>
      </w:r>
    </w:p>
    <w:p>
      <w:pPr>
        <w:pStyle w:val="TextBody"/>
        <w:bidi w:val="0"/>
        <w:spacing w:lineRule="auto" w:line="288" w:before="137" w:after="240"/>
        <w:jc w:val="both"/>
        <w:rPr>
          <w:rFonts w:ascii="Times New Roman;serif" w:hAnsi="Times New Roman;serif"/>
          <w:b/>
          <w:i/>
          <w:color w:val="231F20"/>
          <w:sz w:val="20"/>
        </w:rPr>
      </w:pPr>
      <w:r>
        <w:rPr>
          <w:rFonts w:ascii="Times New Roman;serif" w:hAnsi="Times New Roman;serif"/>
          <w:b/>
          <w:i/>
          <w:color w:val="231F20"/>
          <w:sz w:val="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129"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Accordingly, our business, financial condition and results of operations may be adversely affected by certain events or activities,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231F20"/>
        </w:rPr>
        <w:t>•</w:t>
      </w:r>
      <w:r>
        <w:rPr>
          <w:color w:val="000000"/>
        </w:rPr>
        <w:t>    </w:t>
      </w:r>
      <w:r>
        <w:rPr>
          <w:rFonts w:ascii="Times New Roman;serif" w:hAnsi="Times New Roman;serif"/>
          <w:b w:val="false"/>
          <w:color w:val="000000"/>
          <w:sz w:val="20"/>
        </w:rPr>
        <w:t>changes in fiscal or contracting policies or decreases in available government funding, particularly in the event of a federal government shutdown;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programs, funding priorities, and requirements;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administration and national and international priorities, including developments in the geopolitical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the capabilities that we offer, especially in the areas of national defense;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us as a company or our solutions as viable or acceptable autonomy solutions;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appeals, disputes, or litigation relating to government procurement, including bid protests by unsuccessful bidders on potential or actual awards of contracts to us by the government;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adoption of new laws or regulations or changes to existing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 delays or changes in the government appropriations or procurement processes, including as a result of events such as war, incidents of terrorism, natural disasters, and public health concerns or epidemics;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or unexpected costs or unanticipated delays caused by other factors outside of our control, such as supply chain constraints;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29"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or damages, contract termination. In addition, our reputation in the industry and with current and potential customers may be compromised,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terminate existing contracts for convenience with short notice;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 orders under or otherwise modify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cancel multi-year contracts and related orders if funds for contract performance for any subsequent year become unavailable;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decline to exercise an option to renew a multi-year contract or issue task orders in connection with indefinite delivery/indefinite quantity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suspend us from doing business with the applicable government;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 or prohibit the export of our services.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 to comply with laws, regulations, or contractual provisions applicable to our business could cause us to lose U.S. Government customers or our ability to contract with the United States and other governments.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22" w:after="360"/>
        <w:jc w:val="left"/>
        <w:rPr>
          <w:rFonts w:ascii="Times New Roman;serif" w:hAnsi="Times New Roman;serif"/>
          <w:b w:val="false"/>
          <w:color w:val="231F20"/>
          <w:sz w:val="20"/>
        </w:rPr>
      </w:pPr>
      <w:r>
        <w:rPr>
          <w:rFonts w:ascii="Times New Roman;serif" w:hAnsi="Times New Roman;serif"/>
          <w:b w:val="false"/>
          <w:color w:val="231F20"/>
          <w:sz w:val="20"/>
        </w:rPr>
        <w:t>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Our Intellectual Property Rights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pStyle w:val="TextBody"/>
        <w:bidi w:val="0"/>
        <w:spacing w:lineRule="auto" w:line="288" w:before="124"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pStyle w:val="TextBody"/>
        <w:bidi w:val="0"/>
        <w:spacing w:lineRule="auto" w:line="288" w:before="1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believe that our patents are fundamental to our solutions in the area of AV technology. Unauthorized parties may attempt to copy or reverse engineer our technology or certain aspects of our solutions that we consider proprietary. 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pStyle w:val="TextBody"/>
        <w:bidi w:val="0"/>
        <w:spacing w:lineRule="auto" w:line="288" w:before="17"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technology or intellectual property rights, which may not be of the same quality or effectiveness as those provided under the prior license.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pStyle w:val="TextBody"/>
        <w:bidi w:val="0"/>
        <w:spacing w:lineRule="auto" w:line="288" w:before="12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pStyle w:val="TextBody"/>
        <w:bidi w:val="0"/>
        <w:spacing w:lineRule="auto" w:line="288" w:before="4"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4" w:after="120"/>
        <w:jc w:val="left"/>
        <w:rPr>
          <w:rFonts w:ascii="Times New Roman;serif" w:hAnsi="Times New Roman;serif"/>
          <w:b w:val="false"/>
          <w:color w:val="231F20"/>
          <w:sz w:val="20"/>
        </w:rPr>
      </w:pPr>
      <w:r>
        <w:rPr>
          <w:rFonts w:ascii="Times New Roman;serif" w:hAnsi="Times New Roman;serif"/>
          <w:b w:val="false"/>
          <w:color w:val="231F20"/>
          <w:sz w:val="20"/>
        </w:rPr>
        <w:t>in the future we may receive notices that claim we or our collaborators have misappropriated or misused other parties’ intellectual property rights, particularly as the number of competitors in our market grows.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Our applications for patents or other intellectual property rights registration may not issue or be registered, which may adversely affect our ability to prevent others from commercially exploiting products and technologies similar to ours.</w:t>
      </w:r>
    </w:p>
    <w:p>
      <w:pPr>
        <w:pStyle w:val="TextBody"/>
        <w:bidi w:val="0"/>
        <w:spacing w:lineRule="auto" w:line="288" w:before="135"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 If we are not able to timely obtain registrations for our intellectual property rights, this will negatively affect our ability to enforce the same against infringers, which may in turn create risks for our business as said infringers continue to operate.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pStyle w:val="TextBody"/>
        <w:bidi w:val="0"/>
        <w:spacing w:lineRule="auto" w:line="288" w:before="5"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changes to patent law, or the inability to enforce our patents in certain jurisdictions, may limit the scope of our patents, limit the enforceability or validity of our patents, or be limited by subject matter eligibility, in part or fully.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pStyle w:val="TextBody"/>
        <w:bidi w:val="0"/>
        <w:spacing w:lineRule="auto" w:line="288" w:before="137"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may also bar us and our customers and licensees from exploiting any patents that issue from our pending applications or may otherwise limit the scope of any issued patent claims.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Certain of our innovations are embodied in proprietary information that may not be patentable or subject to copyrights, trademark, trade dress or service mark protection.</w:t>
      </w:r>
    </w:p>
    <w:p>
      <w:pPr>
        <w:pStyle w:val="TextBody"/>
        <w:bidi w:val="0"/>
        <w:spacing w:lineRule="auto" w:line="288" w:before="13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pStyle w:val="TextBody"/>
        <w:bidi w:val="0"/>
        <w:spacing w:lineRule="auto" w:line="288" w:before="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Furthermore, laws regarding trade secret rights in certain markets where we operate may afford little or no protection to our trade secrets.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 w:after="240"/>
        <w:jc w:val="left"/>
        <w:rPr>
          <w:rFonts w:ascii="Times New Roman;serif" w:hAnsi="Times New Roman;serif"/>
          <w:b w:val="false"/>
          <w:color w:val="231F20"/>
          <w:sz w:val="20"/>
        </w:rPr>
      </w:pPr>
      <w:r>
        <w:rPr>
          <w:rFonts w:ascii="Times New Roman;serif" w:hAnsi="Times New Roman;serif"/>
          <w:b w:val="false"/>
          <w:color w:val="231F20"/>
          <w:sz w:val="20"/>
        </w:rPr>
        <w:t>proprietary information to our competitive disadvantage. We may not be able to detect or prevent the unauthorized use of such information or take appropriate and timely steps to enforce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pStyle w:val="TextBody"/>
        <w:bidi w:val="0"/>
        <w:spacing w:lineRule="auto" w:line="288" w:before="135"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cannot guarantee that our processes or requirements will be effective. Litigation 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pStyle w:val="TextBody"/>
        <w:bidi w:val="0"/>
        <w:spacing w:lineRule="auto" w:line="288" w:before="124"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9"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may not be able to protect our intellectual property rights globally, and changes in U.S. intellectual property law may diminish the value of our intellectual property rights in general, thereby impairing our ability to protect our products.</w:t>
      </w:r>
    </w:p>
    <w:p>
      <w:pPr>
        <w:pStyle w:val="TextBody"/>
        <w:bidi w:val="0"/>
        <w:spacing w:lineRule="auto" w:line="288" w:before="13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the standards applied by the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The U.S. Supreme Court has ruled on several patent cases in recent years, such as </w:t>
      </w:r>
      <w:r>
        <w:rPr>
          <w:rFonts w:ascii="Times New Roman;serif" w:hAnsi="Times New Roman;serif"/>
          <w:b w:val="false"/>
          <w:i/>
          <w:color w:val="231F20"/>
          <w:sz w:val="20"/>
        </w:rPr>
        <w:t>Impression Products, Inc. v. Lexmark International, Inc., Association for Molecular Pathology v. Myriad Genetics, Inc., Mayo Collaborative Services v. Prometheus Laboratories, Inc</w:t>
      </w:r>
      <w:r>
        <w:rPr>
          <w:rFonts w:ascii="Times New Roman;serif" w:hAnsi="Times New Roman;serif"/>
          <w:b w:val="false"/>
          <w:color w:val="231F20"/>
          <w:sz w:val="20"/>
        </w:rPr>
        <w:t xml:space="preserve">. and </w:t>
      </w:r>
      <w:r>
        <w:rPr>
          <w:rFonts w:ascii="Times New Roman;serif" w:hAnsi="Times New Roman;serif"/>
          <w:b w:val="false"/>
          <w:i/>
          <w:color w:val="231F20"/>
          <w:sz w:val="20"/>
        </w:rPr>
        <w:t>Alice Corporation Pty. Ltd. v. CLS Bank International</w:t>
      </w:r>
      <w:r>
        <w:rPr>
          <w:rFonts w:ascii="Times New Roman;serif" w:hAnsi="Times New Roman;serif"/>
          <w:b w:val="false"/>
          <w:color w:val="231F20"/>
          <w:sz w:val="20"/>
        </w:rPr>
        <w:t xml:space="preserve">, and the Court of Appeal for the Federal Circuit has ruled on cases such as </w:t>
      </w:r>
      <w:r>
        <w:rPr>
          <w:rFonts w:ascii="Times New Roman;serif" w:hAnsi="Times New Roman;serif"/>
          <w:b w:val="false"/>
          <w:i/>
          <w:color w:val="231F20"/>
          <w:sz w:val="20"/>
        </w:rPr>
        <w:t>Recentive Analytics, Inc. v. Fox. Corp</w:t>
      </w:r>
      <w:r>
        <w:rPr>
          <w:rFonts w:ascii="Times New Roman;serif" w:hAnsi="Times New Roman;serif"/>
          <w:b w:val="false"/>
          <w:color w:val="231F20"/>
          <w:sz w:val="20"/>
        </w:rPr>
        <w:t>.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pStyle w:val="TextBody"/>
        <w:bidi w:val="0"/>
        <w:spacing w:lineRule="auto" w:line="288" w:before="164" w:after="240"/>
        <w:jc w:val="left"/>
        <w:rPr>
          <w:rFonts w:ascii="Times New Roman;serif" w:hAnsi="Times New Roman;serif"/>
          <w:b/>
          <w:color w:val="231F20"/>
          <w:sz w:val="20"/>
        </w:rPr>
      </w:pPr>
      <w:r>
        <w:rPr>
          <w:rFonts w:ascii="Times New Roman;serif" w:hAnsi="Times New Roman;serif"/>
          <w:b/>
          <w:color w:val="231F20"/>
          <w:sz w:val="20"/>
        </w:rPr>
        <w:t>Risks Related to Our Legal and Regulatory Environment</w:t>
      </w:r>
    </w:p>
    <w:p>
      <w:pPr>
        <w:pStyle w:val="TextBody"/>
        <w:bidi w:val="0"/>
        <w:spacing w:lineRule="auto" w:line="288" w:before="139" w:after="240"/>
        <w:jc w:val="left"/>
        <w:rPr>
          <w:rFonts w:ascii="Times New Roman;serif" w:hAnsi="Times New Roman;serif"/>
          <w:b/>
          <w:i/>
          <w:color w:val="231F20"/>
          <w:sz w:val="20"/>
        </w:rPr>
      </w:pPr>
      <w:r>
        <w:rPr>
          <w:rFonts w:ascii="Times New Roman;serif" w:hAnsi="Times New Roman;serif"/>
          <w:b/>
          <w:i/>
          <w:color w:val="231F20"/>
          <w:sz w:val="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pStyle w:val="TextBody"/>
        <w:bidi w:val="0"/>
        <w:spacing w:lineRule="auto" w:line="288" w:before="13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 </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move freight in interstate and intrastate commerce as a motor carrier authorized by the Federal Motor Carrier Safety Administration (“FMCSA”) and other state transportation agencies and are subject to rules and regulations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 xml:space="preserve">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recently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 </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September 30, 2025, 24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organized labor, in particular the International Brotherhood of Teamsters, has opposed driverless technology and is increasingly using its political influence to attempt to slow or stop driverless deployment. In 2025, supporters of organized labor in approximately 20 states introduced legislation that would require human drivers to be physically present in all commercial motor vehicles equipped with AV technology. These states included California, Colorado, Delaware, Nevada, New Mexico and Texas. As of September 30, 2025,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Changes in automotive or autonomy safety regulations, enforcement of such regulations, or concerns about AV technologies that result in regulation of the AV ground transportation industry may adversely affect our business.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National Traffic and Motor Vehicle Safety Act of 1966 (the “Vehicle Safety Act”), including a duty to report, subject to strict timing requirements, safety defects. The Vehicle Safety Act imposes potentially significant civil penalties for violations including the failure to comply with such reporting actions.</w:t>
      </w:r>
    </w:p>
    <w:p>
      <w:pPr>
        <w:pStyle w:val="TextBody"/>
        <w:bidi w:val="0"/>
        <w:spacing w:lineRule="auto" w:line="288" w:before="0" w:after="240"/>
        <w:ind w:left="0" w:right="0" w:firstLine="490"/>
        <w:jc w:val="left"/>
        <w:rPr/>
      </w:pPr>
      <w:r>
        <w:rPr>
          <w:rFonts w:ascii="Times New Roman;serif" w:hAnsi="Times New Roman;serif"/>
          <w:b w:val="false"/>
          <w:color w:val="231F20"/>
          <w:sz w:val="20"/>
        </w:rPr>
        <w:t>We are also subject to the existing U.S. Transportation Recall Enhancement, Accountability and Documentation Act (the “TREAD Act”), which requires motor vehicle equipment manufacturers, such as us, to comply with “Early Warning” requirements by reporting certain information to the National Highway Traffic Safety Administration (the “</w:t>
      </w:r>
      <w:r>
        <w:rPr>
          <w:rFonts w:ascii="Times New Roman;serif" w:hAnsi="Times New Roman;serif"/>
          <w:b/>
          <w:color w:val="231F20"/>
          <w:sz w:val="20"/>
        </w:rPr>
        <w:t>NHTSA</w:t>
      </w:r>
      <w:r>
        <w:rPr>
          <w:color w:val="231F20"/>
        </w:rPr>
        <w:t>”</w:t>
      </w:r>
      <w:r>
        <w:rPr>
          <w:rFonts w:ascii="Times New Roman;serif" w:hAnsi="Times New Roman;serif"/>
          <w:b w:val="false"/>
          <w:color w:val="231F20"/>
          <w:sz w:val="20"/>
        </w:rPr>
        <w:t>) such as information related to defects or reports of injury. The TREAD Act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U.S. federal motor vehicle safety standards. Sales into foreign countries may be subject to similar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uncertain and evolving legal and regulatory environment relating to artificial intelligence may adversely affect our business, financial condition, and results of operations.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use artificial intelligence in our operations, product development, services, and our solution.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pStyle w:val="TextBody"/>
        <w:bidi w:val="0"/>
        <w:spacing w:lineRule="auto" w:line="288" w:before="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We are subject to economic sanctions and governmental export and import control laws and regulations. Our failure to comply with these laws and regulations may adversely affect our business, financial condition, and results of operations.</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solutions are subject to U.S. economic sanctions, export control and import control laws and regulations, including the U.S. Export Administration Regulations, U.S. Customs regulations and various economic and trade sanctions regulations administered by the U.S. Treasury Department’s Office of Foreign Assets Control. U.S. economic sanctions and export control laws and regulations prohibit the shipment of certain products and services to U.S. embargoed or sanctioned countries, governments, and persons, as well as shipments for certain end uses (e.g., military end uses). In addition, complying with sanctions and export controls laws and regulations for a particular geography may be time-consuming and result in the delay or loss of revenue opportunities. Exports of our products and technology, and imports of their components, must be made in full compliance with applicable U.S. laws and regulations. If we fail to comply with these laws and regulations, we and certain of our employees may be subject to substantial civil or criminal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23" w:after="240"/>
        <w:jc w:val="left"/>
        <w:rPr>
          <w:rFonts w:ascii="Times New Roman;serif" w:hAnsi="Times New Roman;serif"/>
          <w:b w:val="false"/>
          <w:color w:val="231F20"/>
          <w:sz w:val="20"/>
        </w:rPr>
      </w:pPr>
      <w:r>
        <w:rPr>
          <w:rFonts w:ascii="Times New Roman;serif" w:hAnsi="Times New Roman;serif"/>
          <w:b w:val="false"/>
          <w:color w:val="231F20"/>
          <w:sz w:val="20"/>
        </w:rPr>
        <w:t>including the possible loss of export or import privileges, fines that may be imposed on us and responsible employees or managers and, in extreme cases, the incarceration of responsible employees or managers.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may adversely affect our business, prospects, financial condition and results of operations and also our reputation.</w:t>
      </w:r>
    </w:p>
    <w:p>
      <w:pPr>
        <w:pStyle w:val="TextBody"/>
        <w:bidi w:val="0"/>
        <w:spacing w:lineRule="auto" w:line="288" w:before="12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environmental laws and regulations that may adversely affect our financial condition and results of operations.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pStyle w:val="TextBody"/>
        <w:bidi w:val="0"/>
        <w:spacing w:lineRule="auto" w:line="288" w:before="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Financial and Tax Matters</w:t>
      </w:r>
    </w:p>
    <w:p>
      <w:pPr>
        <w:pStyle w:val="TextBody"/>
        <w:bidi w:val="0"/>
        <w:spacing w:lineRule="auto" w:line="288" w:before="149" w:after="240"/>
        <w:jc w:val="left"/>
        <w:rPr>
          <w:rFonts w:ascii="Times New Roman;serif" w:hAnsi="Times New Roman;serif"/>
          <w:b/>
          <w:i/>
          <w:color w:val="231F20"/>
          <w:sz w:val="20"/>
        </w:rPr>
      </w:pPr>
      <w:r>
        <w:rPr>
          <w:rFonts w:ascii="Times New Roman;serif" w:hAnsi="Times New Roman;serif"/>
          <w:b/>
          <w:i/>
          <w:color w:val="231F20"/>
          <w:sz w:val="20"/>
        </w:rPr>
        <w:t>We require a significant amount of capital to fund our operations and growth. If we cannot obtain sufficient capital on acceptable terms, our business, financial condition, and results of operations may be adversely affected.</w:t>
      </w:r>
    </w:p>
    <w:p>
      <w:pPr>
        <w:pStyle w:val="TextBody"/>
        <w:bidi w:val="0"/>
        <w:spacing w:lineRule="auto" w:line="288" w:before="14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 to fund a portion of our future expenditures. Such financing might not be available to us in a timely manner, on terms that are acceptable,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debt financing, we may become subject to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estimates of our cash needs may prove inaccurate in which case we may need to raise capital or change our operating plans and timelines.</w:t>
      </w:r>
    </w:p>
    <w:p>
      <w:pPr>
        <w:pStyle w:val="TextBody"/>
        <w:bidi w:val="0"/>
        <w:spacing w:lineRule="auto" w:line="288" w:before="14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spending significant amounts to develop our business and have estimated how much cash we will need on a quarterly basis until we raise additional funds or become cash flow positive. These estimates are based on our current operating plan and are subject to significant uncertainties and contingencies, many of which are beyond our control. Our estimates regarding our cash requirements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pStyle w:val="TextBody"/>
        <w:bidi w:val="0"/>
        <w:spacing w:lineRule="auto" w:line="288" w:before="14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total addressable market and opportunity estimates included in this Quarterly Report on Form 10-Q are subject to significant uncertainty and are based on assumptions and estimates that may prove inaccurate. The projections, forecasts and estimates in this Quarterly Report on Form 10-Q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pStyle w:val="TextBody"/>
        <w:bidi w:val="0"/>
        <w:spacing w:lineRule="auto" w:line="288" w:before="122" w:after="240"/>
        <w:ind w:left="0" w:right="0" w:firstLine="490"/>
        <w:jc w:val="left"/>
        <w:rPr/>
      </w:pPr>
      <w:r>
        <w:rPr>
          <w:rFonts w:ascii="Times New Roman;serif" w:hAnsi="Times New Roman;serif"/>
          <w:b w:val="false"/>
          <w:color w:val="231F20"/>
          <w:sz w:val="20"/>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w:t>
      </w:r>
      <w:r>
        <w:rPr>
          <w:rFonts w:ascii="Times New Roman;serif" w:hAnsi="Times New Roman;serif"/>
          <w:b w:val="false"/>
          <w:i/>
          <w:color w:val="231F20"/>
          <w:sz w:val="20"/>
        </w:rPr>
        <w:t>Management’s Discussion and Analysis of Financial Condition and Results of Operations—Critical Accounting Estimates</w:t>
      </w:r>
      <w:r>
        <w:rPr>
          <w:rFonts w:ascii="Times New Roman;serif" w:hAnsi="Times New Roman;serif"/>
          <w:b w:val="false"/>
          <w:color w:val="231F20"/>
          <w:sz w:val="20"/>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current and future insurance coverage may not be adequate to protect us from all business risks or may be prohibitively expensive.</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In addition, we are required to have our independent public accounting firm attest to and report on our internal control over financial reporting when we cease qualifying as an “emerging growth company” pursuant to the Jumpstart Our Business Startups Act (the “JOBS Act”).</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securities. In addition, if we are unable to continue to meet these requirements, we may not be able to remain listed on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failure to maintain effective disclosure controls and internal control over financial reporting may adversely affect our business, financial condition, and results of operations and may cause a decline in the market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transaction taxes by taxing authorities. Outcomes from these audits may adversely affect our business, financial condition, and results of operations.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Recent changes and currently proposed changes in tax laws may have a material adverse effect on our business, cash flow, results of operations or financial conditions.</w:t>
      </w:r>
    </w:p>
    <w:p>
      <w:pPr>
        <w:pStyle w:val="TextBody"/>
        <w:bidi w:val="0"/>
        <w:spacing w:lineRule="auto" w:line="288" w:before="10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the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However, on June 28, 2025, the G7 released a joint statement announcing an understanding regarding a proposed “side-by-side” solution that would exempt U.S.-parented multinational businesses from certain provisions of the global minimum tax, and the OECD released a draft proposal, dated August 13, 2025, to exclude U.S. multinational companies from certain minimum tax enforcement measures.</w:t>
      </w:r>
    </w:p>
    <w:p>
      <w:pPr>
        <w:pStyle w:val="TextBody"/>
        <w:bidi w:val="0"/>
        <w:spacing w:lineRule="auto" w:line="288" w:before="14"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Our ability to utilize our net operating loss carryforwards may be limited.</w:t>
      </w:r>
    </w:p>
    <w:p>
      <w:pPr>
        <w:pStyle w:val="TextBody"/>
        <w:bidi w:val="0"/>
        <w:spacing w:lineRule="auto" w:line="288" w:before="11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of December 31, 2024, we had estimated U.S. federal and state net operating loss carryforwards of approximately $160.8 million and $154.3 million, respectively. Our U.S. state net operating loss carryforwards subject to expiration will begin to expire in 2039.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pStyle w:val="TextBody"/>
        <w:bidi w:val="0"/>
        <w:spacing w:lineRule="auto" w:line="288" w:before="20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to the potential net operating loss carryforward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these or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may incur substantial indebtedness which may adversely affect our business and limit our ability to plan for or respond to changes in our business.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31" w:after="240"/>
        <w:jc w:val="left"/>
        <w:rPr>
          <w:rFonts w:ascii="Times New Roman;serif" w:hAnsi="Times New Roman;serif"/>
          <w:b w:val="false"/>
          <w:color w:val="231F20"/>
          <w:sz w:val="20"/>
        </w:rPr>
      </w:pPr>
      <w:r>
        <w:rPr>
          <w:rFonts w:ascii="Times New Roman;serif" w:hAnsi="Times New Roman;serif"/>
          <w:b w:val="false"/>
          <w:color w:val="231F20"/>
          <w:sz w:val="20"/>
        </w:rPr>
        <w:t>seeking additional equity or reducing or delaying capital expenditures, strategic investments and alliances, any of which may impede the implementation of our business plans, prevent us from entering into transactions that may otherwise benefit our business and/or adversely affect our financial condition and results of operations. We may not be able to refinance our indebtedness or take such other actions, if necessary, on commercially reasonable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credit facilities contain restrictive covenants and other terms that may impair our ability to conduct business.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may be unable to generate sufficient cash flow to satisfy our significant debt service obligations, which may adversely affect our business, financial condition, results of operations, and cash flows.</w:t>
      </w:r>
    </w:p>
    <w:p>
      <w:pPr>
        <w:pStyle w:val="TextBody"/>
        <w:bidi w:val="0"/>
        <w:spacing w:lineRule="auto" w:line="288" w:before="13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substantial doubt about our ability to continue as a “going concern.”</w:t>
      </w:r>
    </w:p>
    <w:p>
      <w:pPr>
        <w:pStyle w:val="TextBody"/>
        <w:bidi w:val="0"/>
        <w:spacing w:lineRule="auto" w:line="288" w:before="13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our audited financial statements for the years ended December 31, 2024 and 2023 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years ended December 31, 2024 and 2023 include an explanatory paragraph which states certain conditions exist that raise substantial doubt about our ability to continue as a going concern in relation to the foregoing.</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future capital requirements will depend on many factors, including the rate of adoption of the Kodiak Driver and our DaaS model, which we launched in December 2024 in connection with our partnership with Atlas, and the associated revenue growth, the expenses associated with such growth, and the timing and extent of our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 w:after="120"/>
        <w:jc w:val="left"/>
        <w:rPr>
          <w:rFonts w:ascii="Times New Roman;serif" w:hAnsi="Times New Roman;serif"/>
          <w:b w:val="false"/>
          <w:color w:val="231F20"/>
          <w:sz w:val="20"/>
        </w:rPr>
      </w:pPr>
      <w:r>
        <w:rPr>
          <w:rFonts w:ascii="Times New Roman;serif" w:hAnsi="Times New Roman;serif"/>
          <w:b w:val="false"/>
          <w:color w:val="231F20"/>
          <w:sz w:val="20"/>
        </w:rPr>
        <w:t>efforts. If we are unable to raise sufficient capital when needed, our business, financial condition and results of operations may be adversely affected, and we may need to significantly modify our operational plans to continue as a going concern. We do not anticipate that our cash and cash equivalents as of September 30, 2025, which includes the net cash proceeds from the consummation of the Business Combination, will be sufficient to meet our capital requirements for at least one year under our current operating plan. We expect to seek additional funding from debt or equity offerings, which may result in substantial dilution or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pStyle w:val="TextBody"/>
        <w:bidi w:val="0"/>
        <w:spacing w:lineRule="auto" w:line="288" w:before="1" w:after="360"/>
        <w:ind w:left="0" w:right="0" w:firstLine="400"/>
        <w:jc w:val="left"/>
        <w:rPr/>
      </w:pPr>
      <w:r>
        <w:rPr>
          <w:rFonts w:ascii="Times New Roman;serif" w:hAnsi="Times New Roman;serif"/>
          <w:b w:val="false"/>
          <w:color w:val="231F20"/>
          <w:sz w:val="20"/>
        </w:rPr>
        <w:t>The financial statements contained elsewhere in this report do not include any adjustments that might result from our inability to continue as a going concern. Please see the section of this Quarterly Report titled “</w:t>
      </w:r>
      <w:r>
        <w:rPr>
          <w:rFonts w:ascii="Times New Roman;serif" w:hAnsi="Times New Roman;serif"/>
          <w:b w:val="false"/>
          <w:i/>
          <w:color w:val="231F20"/>
          <w:sz w:val="20"/>
        </w:rPr>
        <w:t>Management’s Discussion and Analysis of Financial Condition and Results of Operations—Liquidity and Capital Resources</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Securities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There can be no assurance that we will be able to comply with the continued listing standards of Nasdaq.</w:t>
      </w:r>
    </w:p>
    <w:p>
      <w:pPr>
        <w:pStyle w:val="TextBody"/>
        <w:bidi w:val="0"/>
        <w:spacing w:lineRule="auto" w:line="288" w:before="13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pStyle w:val="TextBody"/>
        <w:bidi w:val="0"/>
        <w:spacing w:lineRule="auto" w:line="288" w:before="7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availability of market quotations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reduced liquidity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determination that our securities are a “penny stock” which will require brokers trading in our securities to adhere to more stringent rules and possibly result in a reduced level of trading activity in the secondary trading market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amount of news and analyst coverage;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active trading market for our securities may not develop, which may limit your ability to sell such securities.</w:t>
      </w:r>
    </w:p>
    <w:p>
      <w:pPr>
        <w:pStyle w:val="TextBody"/>
        <w:bidi w:val="0"/>
        <w:spacing w:lineRule="auto" w:line="288" w:before="14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Delaware law and our Certificate of Incorporation and Bylaws will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14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controlling the procedures for the conduct and scheduling of our Board and stockholder meetings;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alter or amend our Bylaws, which may allow our Board to take additional actions to prevent an unsolicited takeover and inhibit the ability of an acquirer to amend our Bylaws to facilitate an unsolicited takeover attempt;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provisions, alone or together, could delay or prevent hostile takeovers and changes in control or changes in our Board or management.</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a Delaware corporation, we are generally subject to provisions of Delaware law, including the DGCL.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Our Bylaws designate a state or federal court located within the State of Delaware as the exclusive forum for certain types of actions and proceedings, and the federal district courts as the exclusive forum for Securities Act claims,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could limit our stockholders’ ability to choose the judicial forum for disputes with us or our directors, officers, stockholders or employees.</w:t>
      </w:r>
    </w:p>
    <w:p>
      <w:pPr>
        <w:pStyle w:val="TextBody"/>
        <w:bidi w:val="0"/>
        <w:spacing w:lineRule="auto" w:line="288" w:before="124"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w:t>
      </w:r>
    </w:p>
    <w:p>
      <w:pPr>
        <w:pStyle w:val="TextBody"/>
        <w:bidi w:val="0"/>
        <w:spacing w:lineRule="auto" w:line="288" w:before="7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will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pStyle w:val="TextBody"/>
        <w:bidi w:val="0"/>
        <w:spacing w:lineRule="auto" w:line="288" w:before="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Certificate of Incorporation does not limit the ability of the SPAC Sponsor, certain affiliates or funds associated with the SPAC Sponsor or our non-employee directors to compete with us.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pStyle w:val="TextBody"/>
        <w:bidi w:val="0"/>
        <w:spacing w:lineRule="auto" w:line="288" w:before="129"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our stock price could be subject to significant fluctuation or otherwise be adversely affected by the events, risks and uncertainties of any securities litigation and stockholder activism.</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Warrants</w:t>
      </w:r>
    </w:p>
    <w:p>
      <w:pPr>
        <w:pStyle w:val="TextBody"/>
        <w:bidi w:val="0"/>
        <w:spacing w:lineRule="auto" w:line="288" w:before="137" w:after="240"/>
        <w:jc w:val="left"/>
        <w:rPr>
          <w:rFonts w:ascii="Times New Roman;serif" w:hAnsi="Times New Roman;serif"/>
          <w:b/>
          <w:i/>
          <w:color w:val="231F20"/>
          <w:sz w:val="20"/>
        </w:rPr>
      </w:pPr>
      <w:r>
        <w:rPr>
          <w:rFonts w:ascii="Times New Roman;serif" w:hAnsi="Times New Roman;serif"/>
          <w:b/>
          <w:i/>
          <w:color w:val="231F20"/>
          <w:sz w:val="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pStyle w:val="TextBody"/>
        <w:bidi w:val="0"/>
        <w:spacing w:lineRule="auto" w:line="288" w:before="13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no guarantee that our Public Warrants will ever be in the money, and they may expire worthless.</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exercise price for our Public Warrants is $9.28 per share of our common stock, subject to adjustment. There is no guarantee that the Public Warrants will be in the money prior to their expiration, and as such, our Public Warrants may expire worthless.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Your Public Warrants may be redeemed prior to their exercise at a time that is disadvantageous to you.</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redeem outstanding Public Warrants at any time after they become exercisable and prior to their expiration, at a price of $0.01 per warrant, if the closing price of our common stock equals or exceeds $14.53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You may only be able to exercise your Public Warrants on a “cashless basis” under certain circumstances, and if you do so, you will receive fewer shares of our common stock from such exercise than if you were to exercise such Public Warrants for cash.</w:t>
      </w:r>
    </w:p>
    <w:p>
      <w:pPr>
        <w:pStyle w:val="TextBody"/>
        <w:bidi w:val="0"/>
        <w:spacing w:lineRule="auto" w:line="288" w:before="10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received by the warrant agent or on which the notice of redemption is sent to the holders of Public Warrants,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206" w:after="120"/>
        <w:jc w:val="left"/>
        <w:rPr>
          <w:rFonts w:ascii="Times New Roman;serif" w:hAnsi="Times New Roman;serif"/>
          <w:b w:val="false"/>
          <w:color w:val="231F20"/>
          <w:sz w:val="20"/>
        </w:rPr>
      </w:pPr>
      <w:r>
        <w:rPr>
          <w:rFonts w:ascii="Times New Roman;serif" w:hAnsi="Times New Roman;serif"/>
          <w:b w:val="false"/>
          <w:color w:val="231F20"/>
          <w:sz w:val="20"/>
        </w:rPr>
        <w:t>As a result, you would receive fewer shares of our common stock from such exercise than if you were to exercise such Public Warrants for cash.</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pStyle w:val="TextBody"/>
        <w:bidi w:val="0"/>
        <w:spacing w:lineRule="auto" w:line="288" w:before="20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pStyle w:val="TextBody"/>
        <w:bidi w:val="0"/>
        <w:spacing w:lineRule="auto" w:line="288" w:before="1" w:after="240"/>
        <w:jc w:val="left"/>
        <w:rPr>
          <w:rFonts w:ascii="Times New Roman;serif" w:hAnsi="Times New Roman;serif"/>
          <w:b/>
          <w:color w:val="231F20"/>
          <w:sz w:val="20"/>
        </w:rPr>
      </w:pPr>
      <w:r>
        <w:rPr>
          <w:rFonts w:ascii="Times New Roman;serif" w:hAnsi="Times New Roman;serif"/>
          <w:b/>
          <w:color w:val="231F20"/>
          <w:sz w:val="20"/>
        </w:rPr>
        <w:t>Risks Related to Our Organizational Structure</w:t>
      </w:r>
    </w:p>
    <w:p>
      <w:pPr>
        <w:pStyle w:val="TextBody"/>
        <w:bidi w:val="0"/>
        <w:spacing w:lineRule="auto" w:line="288" w:before="109" w:after="240"/>
        <w:jc w:val="left"/>
        <w:rPr>
          <w:rFonts w:ascii="Times New Roman;serif" w:hAnsi="Times New Roman;serif"/>
          <w:b/>
          <w:i/>
          <w:color w:val="231F20"/>
          <w:sz w:val="20"/>
        </w:rPr>
      </w:pPr>
      <w:r>
        <w:rPr>
          <w:rFonts w:ascii="Times New Roman;serif" w:hAnsi="Times New Roman;serif"/>
          <w:b/>
          <w:i/>
          <w:color w:val="231F20"/>
          <w:sz w:val="20"/>
        </w:rPr>
        <w:t>The future resales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6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231F20"/>
          <w:sz w:val="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to be issued upon the conversion of the Second Lien Loans, other than those shares of our common stock to be issued to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See the section titled “</w:t>
      </w:r>
      <w:r>
        <w:rPr>
          <w:rFonts w:ascii="Times New Roman;serif" w:hAnsi="Times New Roman;serif"/>
          <w:b w:val="false"/>
          <w:i/>
          <w:color w:val="231F20"/>
          <w:sz w:val="20"/>
        </w:rPr>
        <w:t>Securities Act Restrictions on Resale of Securities</w:t>
      </w:r>
      <w:r>
        <w:rPr>
          <w:color w:val="231F20"/>
        </w:rPr>
        <w:t xml:space="preserve">” </w:t>
      </w:r>
      <w:r>
        <w:rPr>
          <w:rFonts w:ascii="Times New Roman;serif" w:hAnsi="Times New Roman;serif"/>
          <w:b w:val="false"/>
          <w:color w:val="231F20"/>
          <w:sz w:val="20"/>
        </w:rPr>
        <w:t>for additional information regarding the lockup restrictions.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a significant number of shares of our common stock are subject to issuance upon exercise of the Warrants, and the number of shares covered by the Warrants may increase. For example, the PIPE Warrants and Non-Redemption Agreement Warrants contain anti-dilution adjustments, including with respect to certain future issuances or sales of common stock at prices less than the exercise price then in effect.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Similarly, for the PIPE Warrants and Non-Redemption Agreement Warrants, if the trailing 45-day volume-weighted average price of common stock on the 46th trading day following March 24, 2026 is less than the exercise price then in effect, the exercise price will be adjusted to the greater of (i) such volume-weighted average price and (ii) $8.00.</w:t>
      </w:r>
    </w:p>
    <w:p>
      <w:pPr>
        <w:pStyle w:val="TextBody"/>
        <w:bidi w:val="0"/>
        <w:spacing w:before="0" w:after="0"/>
        <w:ind w:left="0" w:right="0" w:firstLine="490"/>
        <w:jc w:val="left"/>
        <w:rPr/>
      </w:pPr>
      <w:r>
        <w:rPr/>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if the trailing 45-day volume-weighted average price of common stock on the 46th trading day following June 24, 2026 is less than the exercise price then in effect, the exercise price will be adjusted to the greater of (i)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volume-weighted average price and (ii) $6.00. The issuance of the shares of common stock underlying these Warrants or any adjustments to the exercise price of such Warrants will have a dilutive impact on other stockholders and may reduce the market price of our common stock.</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each share of our Series A Preferred Stock is convertible into common stock at any time at the option of the holder at a rate equal to the Accrued Value, divided by the then-applicable conversion price, plus any accrued but unpaid dividends on such share. The conversion price is initially $12.00, but is subject to adjustments for stock dividends, splits, combinations and similar events and customary anti-dilution adjustments, including with respect to certain future issuances or sales of common stock at prices less than the conversion price then in effect. In addition, if the trailing 45-day volume-weighted average price of common stock on the 46th trading day following March 24, 2026 is less than the conversion price then in effect, the conversion price will be adjusted to the greater of (i) such volume weighted average price and (ii) $8.00. Further, if the trailing 45-day volume-weighted average price of common stock on the 46th trading day following June 24, 2026 is less than the conversion price then in effect, the conversion price will be adjusted to the greater of (i) such volume weighted average price and (ii) $6.00. The conversion of our Series A Preferred Stock to such shares of common stock or any adjustments to the conversion price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Additionally, we intend to file a registration statement to register shares reserved for future issuance under our 2025 Plan and the ESPP. Upon effectiveness of the registration statement,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incurred and will continue to incur significant expenses and administrative burdens as a public company, which may adversely affect our business, prospects, financial condition, and results of operations.</w:t>
      </w:r>
    </w:p>
    <w:p>
      <w:pPr>
        <w:pStyle w:val="TextBody"/>
        <w:bidi w:val="0"/>
        <w:spacing w:lineRule="auto" w:line="288" w:before="14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management team has limited experience in operating a public company.</w:t>
      </w:r>
    </w:p>
    <w:p>
      <w:pPr>
        <w:pStyle w:val="TextBody"/>
        <w:bidi w:val="0"/>
        <w:spacing w:lineRule="auto" w:line="288" w:before="149"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companies may be a significant disadvantage in that it is likely that an increasing amount of their time may be devoted to these activities which will result in less time being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devoted to our management and growth. We may not have adequate personnel with the appropriate level of knowledge, experience, and training in the accounting policies, practices or internal control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and Bylaws provide that we will indemnify our directors and officers, in each case to the fullest extent permitted by Delaware law.</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as permitted by Section 145 of the DGCL, our Bylaws and our indemnification agreements that we entered into with our directors and officers provide that: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rights conferred in our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do not intend to pay dividends for the foreseeable future.</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market price and trading volume of our common stock may be volatile and may decline significantly.</w:t>
      </w:r>
    </w:p>
    <w:p>
      <w:pPr>
        <w:pStyle w:val="TextBody"/>
        <w:bidi w:val="0"/>
        <w:spacing w:lineRule="auto" w:line="288" w:before="13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stock markets, including Nasdaq, have from time to time experienced significant price and volume fluctuations. Even if an active, liquid and orderly trading market develops and is sustained for our common stock,</w:t>
      </w:r>
    </w:p>
    <w:p>
      <w:pPr>
        <w:pStyle w:val="TextBody"/>
        <w:bidi w:val="0"/>
        <w:spacing w:lineRule="auto" w:line="288" w:before="7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realization of any of the risk factors presented in this Quarterly Report on Form 10-Q;</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industries in which we and our customers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developments involving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laws and regulations affecting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and departures of key personnel;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requirements of the listing exchange;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future issuances, sales, resales or repurchases or anticipated issuances, sales, resales or repurchases, of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actions by stockholders, including sales of the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performance and market valuations of other similar companies;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speculation in the press or investment community;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potential or perceived control, accounting or reporting problems;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accounting principles, policies and guidelines;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other events or factors, including those resulting from infectious diseases, health epidemics and pandemics, natural disasters, war, acts of terrorism or responses to these events.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123"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We will remain an emerging growth company until the earliest of (i) the last day of the fiscal year in which the market value of our common stock that are held by non-affiliates exceeds $700 million as of June 30 of that fiscal year, (ii) the last day of the fiscal year in which we have total annual gross revenue of $1.235 billion or more during such fiscal year, (iii) the date on which we have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123" w:after="360"/>
        <w:jc w:val="left"/>
        <w:rPr>
          <w:rFonts w:ascii="Times New Roman;serif" w:hAnsi="Times New Roman;serif"/>
          <w:b w:val="false"/>
          <w:color w:val="231F20"/>
          <w:sz w:val="20"/>
        </w:rPr>
      </w:pPr>
      <w:r>
        <w:rPr>
          <w:rFonts w:ascii="Times New Roman;serif" w:hAnsi="Times New Roman;serif"/>
          <w:b w:val="false"/>
          <w:color w:val="231F20"/>
          <w:sz w:val="20"/>
        </w:rPr>
        <w:t>more than $1 billion in non-convertible debt in the prior three-year period or (iv) December 31, 2028.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Investors may find our common stock less attractive because we rely on these exemptions or reduced disclosure obligations, which may result in a less active trading market for our common stock and its price may be more volatile.</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General and Macroeconomic Risks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pStyle w:val="TextBody"/>
        <w:bidi w:val="0"/>
        <w:spacing w:lineRule="auto" w:line="288" w:before="124"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 significant natural disaster, such as an earthquake, fire, flood, hurricane or significant power outage or other similar events, such as infectious disease outbreaks or pandemic events, including the COVID-19 pandemic and its aftermath,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General business and economic conditions, and risks related to the long-haul trucking, industrial trucking, oil and gas and defense ecosystems, may adversely affect our business, financial condition, and results of operations.</w:t>
      </w:r>
    </w:p>
    <w:p>
      <w:pPr>
        <w:pStyle w:val="TextBody"/>
        <w:bidi w:val="0"/>
        <w:spacing w:lineRule="auto" w:line="288" w:before="121"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September 30, 2025, no director or officer,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filed the exhibits listed on the accompanying Exhibit Index, which is incorporated herein by reference.</w:t>
      </w:r>
    </w:p>
    <w:tbl>
      <w:tblPr>
        <w:tblW w:w="10205" w:type="dxa"/>
        <w:jc w:val="left"/>
        <w:tblInd w:w="0" w:type="dxa"/>
        <w:tblLayout w:type="fixed"/>
        <w:tblCellMar>
          <w:top w:w="28" w:type="dxa"/>
          <w:left w:w="28" w:type="dxa"/>
          <w:bottom w:w="28" w:type="dxa"/>
          <w:right w:w="28" w:type="dxa"/>
        </w:tblCellMar>
      </w:tblPr>
      <w:tblGrid>
        <w:gridCol w:w="126"/>
        <w:gridCol w:w="111"/>
        <w:gridCol w:w="111"/>
        <w:gridCol w:w="111"/>
        <w:gridCol w:w="111"/>
        <w:gridCol w:w="111"/>
        <w:gridCol w:w="111"/>
        <w:gridCol w:w="111"/>
        <w:gridCol w:w="111"/>
        <w:gridCol w:w="109"/>
        <w:gridCol w:w="109"/>
        <w:gridCol w:w="109"/>
        <w:gridCol w:w="488"/>
        <w:gridCol w:w="208"/>
        <w:gridCol w:w="208"/>
        <w:gridCol w:w="208"/>
        <w:gridCol w:w="208"/>
        <w:gridCol w:w="208"/>
        <w:gridCol w:w="208"/>
        <w:gridCol w:w="208"/>
        <w:gridCol w:w="221"/>
        <w:gridCol w:w="109"/>
        <w:gridCol w:w="109"/>
        <w:gridCol w:w="109"/>
        <w:gridCol w:w="109"/>
        <w:gridCol w:w="109"/>
        <w:gridCol w:w="109"/>
        <w:gridCol w:w="109"/>
        <w:gridCol w:w="109"/>
        <w:gridCol w:w="109"/>
        <w:gridCol w:w="109"/>
        <w:gridCol w:w="109"/>
        <w:gridCol w:w="109"/>
        <w:gridCol w:w="109"/>
        <w:gridCol w:w="109"/>
        <w:gridCol w:w="109"/>
        <w:gridCol w:w="113"/>
        <w:gridCol w:w="113"/>
        <w:gridCol w:w="113"/>
        <w:gridCol w:w="113"/>
        <w:gridCol w:w="113"/>
        <w:gridCol w:w="113"/>
        <w:gridCol w:w="113"/>
        <w:gridCol w:w="113"/>
        <w:gridCol w:w="113"/>
        <w:gridCol w:w="109"/>
        <w:gridCol w:w="109"/>
        <w:gridCol w:w="109"/>
        <w:gridCol w:w="111"/>
        <w:gridCol w:w="111"/>
        <w:gridCol w:w="111"/>
        <w:gridCol w:w="111"/>
        <w:gridCol w:w="111"/>
        <w:gridCol w:w="111"/>
        <w:gridCol w:w="111"/>
        <w:gridCol w:w="111"/>
        <w:gridCol w:w="111"/>
        <w:gridCol w:w="109"/>
        <w:gridCol w:w="109"/>
        <w:gridCol w:w="109"/>
        <w:gridCol w:w="112"/>
        <w:gridCol w:w="112"/>
        <w:gridCol w:w="112"/>
        <w:gridCol w:w="672"/>
        <w:gridCol w:w="327"/>
        <w:gridCol w:w="105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6"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101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6"/>
                  <w:u w:val="single"/>
                </w:rPr>
                <w:t>Business Combination Agreement, dated as of April 14, 2025, by and among Ares Acquisition Corporation II, Kodiak Robotics, Inc. and AAC II Merger Sub,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6"/>
                <w:u w:val="single"/>
                <w:b w:val="false"/>
                <w:rFonts w:ascii="Times New Roman;serif" w:hAnsi="Times New Roman;serif"/>
                <w:color w:val="0000FF"/>
              </w:rPr>
              <w:instrText xml:space="preserve"> HYPERLINK "https://www.sec.gov/ix?doc=/Archives/edgar/data/0001853138/000119312525181961/d948047ds4a.htm" \l "anxb"</w:instrText>
            </w:r>
            <w:r>
              <w:rPr>
                <w:rStyle w:val="InternetLink"/>
                <w:sz w:val="16"/>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6"/>
                <w:u w:val="single"/>
              </w:rPr>
              <w:t>Plan of Domestication of Ares Acquisition Corporation II</w:t>
            </w:r>
            <w:r>
              <w:rPr>
                <w:rStyle w:val="InternetLink"/>
                <w:sz w:val="16"/>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Certificate of Incorporation of Kodiak AI,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Certificate of Designation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6"/>
                  <w:u w:val="single"/>
                </w:rPr>
                <w:t>Bylaws of Kodiak AI,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6"/>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6"/>
                  <w:u w:val="single"/>
                </w:rPr>
                <w:t>Form of Assumed Kodiak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6"/>
                  <w:u w:val="single"/>
                </w:rPr>
                <w:t>Form of PIPE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6"/>
                  <w:u w:val="single"/>
                </w:rPr>
                <w:t>Form of Non-Redemption Agreement Warrant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6"/>
                  <w:u w:val="single"/>
                </w:rPr>
                <w:t>Amended and Restated Registration Rights Agreement, dated as of September 24, 2025, by and among the Company and each of the stockholders of the Company identified on the signature pages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6"/>
                  <w:u w:val="single"/>
                </w:rPr>
                <w:t>Kodiak AI, Inc. 2025 Equity Incentive Plan and forms of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6"/>
                  <w:u w:val="single"/>
                </w:rPr>
                <w:t>Kodiak AI, Inc. 2025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6"/>
                  <w:u w:val="single"/>
                </w:rPr>
                <w:t>Kodiak AI, Inc. Executive Change in Control and Severance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6"/>
                  <w:u w:val="single"/>
                </w:rPr>
                <w:t>Kodiak AI, Inc. Executive Incentive Compensation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6"/>
                  <w:u w:val="single"/>
                </w:rPr>
                <w:t>Kodiak AI, Inc. Compensation Recovery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6"/>
                  <w:u w:val="single"/>
                </w:rPr>
                <w:t>Kodiak AI, Inc. Outside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6"/>
                  <w:u w:val="single"/>
                </w:rPr>
                <w:t>Kodiak AI, Inc. 2018 Equity Incentive Plan and forms of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6"/>
                  <w:u w:val="single"/>
                </w:rPr>
                <w:t>Confirmatory Employment Letter between the Company and Don Burnette, effective July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6"/>
                  <w:u w:val="single"/>
                </w:rPr>
                <w:t>Confirmatory Employment Letter between the Company and Andreas Wendel, effective July 22,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6"/>
                  <w:u w:val="single"/>
                </w:rPr>
                <w:t>Confirmatory Employment Letter between the Company and Michael Wiesinger, effective July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6"/>
                  <w:u w:val="single"/>
                </w:rPr>
                <w:t>Form of Indemnification Agreement between Kodiak AI, Inc.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a64f4d324b2497ab69c7bbff57425db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03"/>
        <w:gridCol w:w="204"/>
        <w:gridCol w:w="204"/>
        <w:gridCol w:w="204"/>
        <w:gridCol w:w="204"/>
        <w:gridCol w:w="204"/>
        <w:gridCol w:w="204"/>
        <w:gridCol w:w="204"/>
        <w:gridCol w:w="206"/>
        <w:gridCol w:w="109"/>
        <w:gridCol w:w="109"/>
        <w:gridCol w:w="109"/>
        <w:gridCol w:w="109"/>
        <w:gridCol w:w="109"/>
        <w:gridCol w:w="109"/>
        <w:gridCol w:w="109"/>
        <w:gridCol w:w="109"/>
        <w:gridCol w:w="109"/>
        <w:gridCol w:w="109"/>
        <w:gridCol w:w="109"/>
        <w:gridCol w:w="109"/>
        <w:gridCol w:w="109"/>
        <w:gridCol w:w="109"/>
        <w:gridCol w:w="109"/>
        <w:gridCol w:w="112"/>
        <w:gridCol w:w="112"/>
        <w:gridCol w:w="112"/>
        <w:gridCol w:w="112"/>
        <w:gridCol w:w="112"/>
        <w:gridCol w:w="112"/>
        <w:gridCol w:w="112"/>
        <w:gridCol w:w="112"/>
        <w:gridCol w:w="112"/>
        <w:gridCol w:w="109"/>
        <w:gridCol w:w="109"/>
        <w:gridCol w:w="109"/>
        <w:gridCol w:w="109"/>
        <w:gridCol w:w="109"/>
        <w:gridCol w:w="109"/>
        <w:gridCol w:w="109"/>
        <w:gridCol w:w="109"/>
        <w:gridCol w:w="109"/>
        <w:gridCol w:w="109"/>
        <w:gridCol w:w="109"/>
        <w:gridCol w:w="109"/>
        <w:gridCol w:w="109"/>
        <w:gridCol w:w="109"/>
        <w:gridCol w:w="109"/>
        <w:gridCol w:w="111"/>
        <w:gridCol w:w="111"/>
        <w:gridCol w:w="111"/>
        <w:gridCol w:w="666"/>
        <w:gridCol w:w="327"/>
        <w:gridCol w:w="1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6"/>
                  <w:u w:val="single"/>
                </w:rPr>
                <w:t>Third Amendment to Venture Loan and Security Agreement, dated September 24, 2025, by and between Kodiak Robotics, Inc., Horizon Technology Finance Corporation, Horizon Funding I, LLC, Horizon Funding II, LLC, and Horizon Funding Trust 2022-1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6"/>
                  <w:u w:val="single"/>
                </w:rPr>
                <w:t>First Amendment to Second Lien Loan and Security Agreement, by and among Kodiak Robotics, Inc., Ares Agent Services, L.P. and the lenders identified on the signature pages thereto, dated as of July 18,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6"/>
                  <w:u w:val="single"/>
                </w:rPr>
                <w:t>Second Amendment to Second Lien Loan and Security Agreement, by and among Kodiak Robotics, Inc., Ares Agent Services, L.P. and the lenders identified on the signature pages thereto, dated as of August 25,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6"/>
                  <w:u w:val="single"/>
                </w:rPr>
                <w:t>Board Observer Agreement, dated September 24, 2025, by and between Ares Acquisition Corporation II and Ares Acquisition Holdings II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6"/>
                  <w:u w:val="single"/>
                </w:rPr>
                <w:t>Letter Agreement by and among Kodiak Robotics, Inc., Ares Acquisition Corporation II, Ares Acquisition Holdings II LP and AAC II Co-Invest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6"/>
                  <w:u w:val="single"/>
                </w:rPr>
                <w:t>Acknowledgement and Agreement, by and among Kodiak Robotics, Inc., Ares Agent Services, L.P. and AAC II Holdings II LP, dated as of September 15,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6"/>
                  <w:u w:val="single"/>
                </w:rPr>
                <w:t>Form of Subscription Agreement for Preferred Investment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6"/>
                  <w:u w:val="single"/>
                </w:rPr>
                <w:t>Form of Common Stock Non-Redemption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6"/>
                  <w:u w:val="single"/>
                </w:rPr>
                <w:t>Form of Warrant Non-Redemption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htm">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htm">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htm">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htm">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9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240" w:after="283"/>
        <w:ind w:left="0" w:right="0" w:hanging="202"/>
        <w:jc w:val="both"/>
        <w:rPr>
          <w:rFonts w:ascii="Times New Roman;serif" w:hAnsi="Times New Roman;serif"/>
          <w:b w:val="false"/>
          <w:color w:val="000000"/>
          <w:sz w:val="16"/>
        </w:rPr>
      </w:pPr>
      <w:r>
        <w:rPr>
          <w:rFonts w:ascii="Times New Roman;serif" w:hAnsi="Times New Roman;serif"/>
          <w:b w:val="false"/>
          <w:color w:val="000000"/>
          <w:sz w:val="16"/>
        </w:rPr>
        <w:t>*     Certain schedules and similar attachments to this Exhibit have been omitted in accordance with Item 601(a)(5) or (b)(2), as applicable of Regulation S-K. The registrants agree to furnish supplementally a copy of any omitted exhibit or schedule to the SEC upon its request.</w:t>
      </w:r>
    </w:p>
    <w:p>
      <w:pPr>
        <w:pStyle w:val="TextBody"/>
        <w:bidi w:val="0"/>
        <w:spacing w:lineRule="auto" w:line="288" w:before="240" w:after="283"/>
        <w:ind w:left="0" w:right="0" w:hanging="202"/>
        <w:jc w:val="both"/>
        <w:rPr/>
      </w:pPr>
      <w:r>
        <w:rPr>
          <w:rFonts w:ascii="Times New Roman;serif" w:hAnsi="Times New Roman;serif"/>
          <w:b w:val="false"/>
          <w:color w:val="000000"/>
          <w:sz w:val="16"/>
        </w:rPr>
        <w:t>+ These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2a64f4d324b2497ab69c7bbff57425db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05"/>
        <w:gridCol w:w="444"/>
        <w:gridCol w:w="446"/>
        <w:gridCol w:w="109"/>
        <w:gridCol w:w="109"/>
        <w:gridCol w:w="109"/>
        <w:gridCol w:w="2147"/>
        <w:gridCol w:w="2134"/>
        <w:gridCol w:w="2162"/>
        <w:gridCol w:w="109"/>
        <w:gridCol w:w="109"/>
        <w:gridCol w:w="109"/>
        <w:gridCol w:w="499"/>
        <w:gridCol w:w="499"/>
        <w:gridCol w:w="715"/>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13, 2025</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13, 2025</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 xml:space="preserve">RULES 13a-14(a) AND 15d-14(a) UNDER THE SECURITIES EXCHANGE ACT OF 1934, </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Don Burnette,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Quarterly Report on Form 10-Q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November 13, 2025</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RULES 13a-14(a) AND 15d-14(a) UNDER THE SECURITIES EXCHANGE ACT OF 1934,</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Surajit Datta,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Quarterly Report on Form 10-Q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November 13, 2025</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Kodiak AI,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November 13, 2025</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Kodiak AI,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November 13, 2025</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3138/000119312525079657/d948522dex21.htm" TargetMode="External"/><Relationship Id="rId3" Type="http://schemas.openxmlformats.org/officeDocument/2006/relationships/hyperlink" Target="https://www.sec.gov/Archives/edgar/data/1853138/000119312525225299/d933659dex32.htm" TargetMode="External"/><Relationship Id="rId4" Type="http://schemas.openxmlformats.org/officeDocument/2006/relationships/hyperlink" Target="https://www.sec.gov/Archives/edgar/data/1853138/000119312525225299/d933659dex31.htm" TargetMode="External"/><Relationship Id="rId5" Type="http://schemas.openxmlformats.org/officeDocument/2006/relationships/hyperlink" Target="https://www.sec.gov/Archives/edgar/data/1853138/000119312525225299/d933659dex33.htm" TargetMode="External"/><Relationship Id="rId6" Type="http://schemas.openxmlformats.org/officeDocument/2006/relationships/hyperlink" Target="https://www.sec.gov/Archives/edgar/data/1853138/000119312525225299/d933659dex44.htm" TargetMode="External"/><Relationship Id="rId7" Type="http://schemas.openxmlformats.org/officeDocument/2006/relationships/hyperlink" Target="https://www.sec.gov/Archives/edgar/data/1747286/000119312525187391/d948047dex46.htm" TargetMode="External"/><Relationship Id="rId8" Type="http://schemas.openxmlformats.org/officeDocument/2006/relationships/hyperlink" Target="https://www.sec.gov/Archives/edgar/data/1853138/000119312525202878/d945093dex41.htm" TargetMode="External"/><Relationship Id="rId9" Type="http://schemas.openxmlformats.org/officeDocument/2006/relationships/hyperlink" Target="https://www.sec.gov/Archives/edgar/data/1853138/000119312525212149/d946584dex41.htm" TargetMode="External"/><Relationship Id="rId10" Type="http://schemas.openxmlformats.org/officeDocument/2006/relationships/hyperlink" Target="https://www.sec.gov/Archives/edgar/data/1853138/000119312525225299/d933659dex108.htm" TargetMode="External"/><Relationship Id="rId11" Type="http://schemas.openxmlformats.org/officeDocument/2006/relationships/hyperlink" Target="https://www.sec.gov/Archives/edgar/data/1853138/000119312525225299/d933659dex1015.htm" TargetMode="External"/><Relationship Id="rId12" Type="http://schemas.openxmlformats.org/officeDocument/2006/relationships/hyperlink" Target="https://www.sec.gov/Archives/edgar/data/1853138/000119312525225299/d933659dex1016.htm" TargetMode="External"/><Relationship Id="rId13" Type="http://schemas.openxmlformats.org/officeDocument/2006/relationships/hyperlink" Target="https://www.sec.gov/Archives/edgar/data/1853138/000119312525225299/d933659dex1017.htm" TargetMode="External"/><Relationship Id="rId14" Type="http://schemas.openxmlformats.org/officeDocument/2006/relationships/hyperlink" Target="https://www.sec.gov/Archives/edgar/data/1853138/000119312525225299/d933659dex1018.htm" TargetMode="External"/><Relationship Id="rId15" Type="http://schemas.openxmlformats.org/officeDocument/2006/relationships/hyperlink" Target="https://www.sec.gov/Archives/edgar/data/1853138/000119312525225299/d933659dex1019.htm" TargetMode="External"/><Relationship Id="rId16" Type="http://schemas.openxmlformats.org/officeDocument/2006/relationships/hyperlink" Target="https://www.sec.gov/Archives/edgar/data/1853138/000119312525225299/d933659dex1020.htm" TargetMode="External"/><Relationship Id="rId17" Type="http://schemas.openxmlformats.org/officeDocument/2006/relationships/hyperlink" Target="https://www.sec.gov/Archives/edgar/data/1853138/000119312525225299/d933659dex1021.htm" TargetMode="External"/><Relationship Id="rId18" Type="http://schemas.openxmlformats.org/officeDocument/2006/relationships/hyperlink" Target="https://www.sec.gov/Archives/edgar/data/1747286/000119312525165628/d948047dex106.htm" TargetMode="External"/><Relationship Id="rId19" Type="http://schemas.openxmlformats.org/officeDocument/2006/relationships/hyperlink" Target="https://www.sec.gov/Archives/edgar/data/1747286/000119312525165628/d948047dex107.htm" TargetMode="External"/><Relationship Id="rId20" Type="http://schemas.openxmlformats.org/officeDocument/2006/relationships/hyperlink" Target="https://www.sec.gov/Archives/edgar/data/1747286/000119312525165628/d948047dex108.htm" TargetMode="External"/><Relationship Id="rId21" Type="http://schemas.openxmlformats.org/officeDocument/2006/relationships/hyperlink" Target="https://www.sec.gov/Archives/edgar/data/1747286/000119312525181961/d948047dex1010.htm" TargetMode="External"/><Relationship Id="rId22" Type="http://schemas.openxmlformats.org/officeDocument/2006/relationships/hyperlink" Target="https://www.sec.gov/Archives/edgar/data/1853138/000119312525225299/d933659dex1025.htm" TargetMode="External"/><Relationship Id="rId23" Type="http://schemas.openxmlformats.org/officeDocument/2006/relationships/hyperlink" Target="https://www.sec.gov/Archives/edgar/data/1747286/000119312525181961/d948047dex1027.htm" TargetMode="External"/><Relationship Id="rId24" Type="http://schemas.openxmlformats.org/officeDocument/2006/relationships/hyperlink" Target="https://www.sec.gov/Archives/edgar/data/1747286/000119312525187391/d948047dex1028.htm" TargetMode="External"/><Relationship Id="rId25" Type="http://schemas.openxmlformats.org/officeDocument/2006/relationships/hyperlink" Target="https://www.sec.gov/Archives/edgar/data/1853138/000119312525225299/d933659dex109.htm" TargetMode="External"/><Relationship Id="rId26" Type="http://schemas.openxmlformats.org/officeDocument/2006/relationships/hyperlink" Target="https://www.sec.gov/Archives/edgar/data/1747286/000119312525181961/d948047dex1035.htm" TargetMode="External"/><Relationship Id="rId27" Type="http://schemas.openxmlformats.org/officeDocument/2006/relationships/hyperlink" Target="https://www.sec.gov/Archives/edgar/data/1853138/000119312525202878/d945093dex102.htm" TargetMode="External"/><Relationship Id="rId28" Type="http://schemas.openxmlformats.org/officeDocument/2006/relationships/hyperlink" Target="https://www.sec.gov/Archives/edgar/data/1853138/000119312525202878/d945093dex101.htm" TargetMode="External"/><Relationship Id="rId29" Type="http://schemas.openxmlformats.org/officeDocument/2006/relationships/hyperlink" Target="https://www.sec.gov/Archives/edgar/data/1853138/000119312525212149/d946584dex102.htm" TargetMode="External"/><Relationship Id="rId30" Type="http://schemas.openxmlformats.org/officeDocument/2006/relationships/hyperlink" Target="https://www.sec.gov/Archives/edgar/data/1853138/000119312525212149/d946584dex10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58150</Words>
  <Characters>323141</Characters>
  <CharactersWithSpaces>379421</CharactersWithSpaces>
  <Paragraphs>3187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